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Gupta Sanjiv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53,330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53,330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Employee stock option granted pursuant to the Graco Inc. Amended and Restated 2019 Stock Incentive Plan in a transaction exempt under Rule 16b-3. The stock option becomes exercisable as to 29.8% of the options on the first and second anniversaries of the date of the grant and as to 20.2% of the options on the third and fourth anniversaries of the date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the contingent right to receive, upon vesting of the RSU, one share of Graco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grant of RSUs under the Graco Inc. Amended and Restated 2019 Stock Incentive Plan in a transaction exempt under Rule 16b-3. 50% of the total number of RSUs will vest on each of April 15, 2027 and April 15, 2028, subject to Mr. Gupta's continued employment through those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J. Humke, attorney-in-fact for Mr. Gupta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110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3833</Characters>
  <CharactersWithSpaces>4487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