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24,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Graco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63"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34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22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001-09249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41-0285640</w:t>
            </w:r>
          </w:p>
        </w:tc>
        <w:tc>
          <w:tcPr>
            <w:tcW w:w="100" w:type="dxa"/>
            <w:vAlign w:val="bottom"/>
          </w:tcPr>
          <w:p>
            <w:pPr>
              <w:spacing w:after="0"/>
              <w:rPr>
                <w:sz w:val="20"/>
                <w:szCs w:val="20"/>
                <w:color w:val="auto"/>
              </w:rPr>
            </w:pPr>
          </w:p>
        </w:tc>
      </w:tr>
      <w:tr>
        <w:trPr>
          <w:trHeight w:val="169"/>
        </w:trPr>
        <w:tc>
          <w:tcPr>
            <w:tcW w:w="100" w:type="dxa"/>
            <w:vAlign w:val="bottom"/>
          </w:tcPr>
          <w:p>
            <w:pPr>
              <w:spacing w:after="0"/>
              <w:rPr>
                <w:sz w:val="14"/>
                <w:szCs w:val="14"/>
                <w:color w:val="auto"/>
              </w:rPr>
            </w:pPr>
          </w:p>
        </w:tc>
        <w:tc>
          <w:tcPr>
            <w:tcW w:w="2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00" w:type="dxa"/>
            <w:vAlign w:val="bottom"/>
          </w:tcPr>
          <w:p>
            <w:pPr>
              <w:spacing w:after="0"/>
              <w:rPr>
                <w:sz w:val="14"/>
                <w:szCs w:val="14"/>
                <w:color w:val="auto"/>
              </w:rPr>
            </w:pPr>
          </w:p>
        </w:tc>
        <w:tc>
          <w:tcPr>
            <w:tcW w:w="34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100" w:type="dxa"/>
            <w:vAlign w:val="bottom"/>
          </w:tcPr>
          <w:p>
            <w:pPr>
              <w:spacing w:after="0"/>
              <w:rPr>
                <w:sz w:val="14"/>
                <w:szCs w:val="14"/>
                <w:color w:val="auto"/>
              </w:rPr>
            </w:pPr>
          </w:p>
        </w:tc>
      </w:tr>
      <w:tr>
        <w:trPr>
          <w:trHeight w:val="234"/>
        </w:trPr>
        <w:tc>
          <w:tcPr>
            <w:tcW w:w="100" w:type="dxa"/>
            <w:vAlign w:val="bottom"/>
          </w:tcPr>
          <w:p>
            <w:pPr>
              <w:spacing w:after="0"/>
              <w:rPr>
                <w:sz w:val="20"/>
                <w:szCs w:val="20"/>
                <w:color w:val="auto"/>
              </w:rPr>
            </w:pPr>
          </w:p>
        </w:tc>
        <w:tc>
          <w:tcPr>
            <w:tcW w:w="34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8"/>
              </w:rPr>
              <w:t>Incorporation)</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97"/>
        </w:trPr>
        <w:tc>
          <w:tcPr>
            <w:tcW w:w="100" w:type="dxa"/>
            <w:vAlign w:val="bottom"/>
          </w:tcPr>
          <w:p>
            <w:pPr>
              <w:spacing w:after="0"/>
              <w:rPr>
                <w:sz w:val="24"/>
                <w:szCs w:val="24"/>
                <w:color w:val="auto"/>
              </w:rPr>
            </w:pPr>
          </w:p>
        </w:tc>
        <w:tc>
          <w:tcPr>
            <w:tcW w:w="348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88 – 11th Avenue Northeast</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Minneapolis, Minnesota</w:t>
            </w:r>
          </w:p>
        </w:tc>
        <w:tc>
          <w:tcPr>
            <w:tcW w:w="130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55413</w:t>
            </w:r>
          </w:p>
        </w:tc>
        <w:tc>
          <w:tcPr>
            <w:tcW w:w="100" w:type="dxa"/>
            <w:vAlign w:val="bottom"/>
            <w:tcBorders>
              <w:bottom w:val="single" w:sz="8" w:color="auto"/>
            </w:tcBorders>
          </w:tcPr>
          <w:p>
            <w:pPr>
              <w:spacing w:after="0"/>
              <w:rPr>
                <w:sz w:val="23"/>
                <w:szCs w:val="23"/>
                <w:color w:val="auto"/>
              </w:rPr>
            </w:pPr>
          </w:p>
        </w:tc>
      </w:tr>
      <w:tr>
        <w:trPr>
          <w:trHeight w:val="228"/>
        </w:trPr>
        <w:tc>
          <w:tcPr>
            <w:tcW w:w="100" w:type="dxa"/>
            <w:vAlign w:val="bottom"/>
          </w:tcPr>
          <w:p>
            <w:pPr>
              <w:spacing w:after="0"/>
              <w:rPr>
                <w:sz w:val="19"/>
                <w:szCs w:val="19"/>
                <w:color w:val="auto"/>
              </w:rPr>
            </w:pPr>
          </w:p>
        </w:tc>
        <w:tc>
          <w:tcPr>
            <w:tcW w:w="478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34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c>
          <w:tcPr>
            <w:tcW w:w="100" w:type="dxa"/>
            <w:vAlign w:val="bottom"/>
          </w:tcPr>
          <w:p>
            <w:pPr>
              <w:spacing w:after="0"/>
              <w:rPr>
                <w:sz w:val="19"/>
                <w:szCs w:val="19"/>
                <w:color w:val="auto"/>
              </w:rPr>
            </w:pPr>
          </w:p>
        </w:tc>
      </w:tr>
    </w:tbl>
    <w:p>
      <w:pPr>
        <w:spacing w:after="0" w:line="135"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(612) 623-6000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19685</wp:posOffset>
            </wp:positionV>
            <wp:extent cx="29660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4"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19685</wp:posOffset>
            </wp:positionV>
            <wp:extent cx="3429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4"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390" w:type="dxa"/>
        <w:tblCellMar>
          <w:top w:w="0" w:type="dxa"/>
          <w:left w:w="0" w:type="dxa"/>
          <w:bottom w:w="0" w:type="dxa"/>
          <w:right w:w="0" w:type="dxa"/>
        </w:tblCellMar>
      </w:tblPr>
      <w:tr>
        <w:trPr>
          <w:trHeight w:val="526"/>
        </w:trPr>
        <w:tc>
          <w:tcPr>
            <w:tcW w:w="2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2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GGG</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740"/>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April 24, 2026, Graco Inc. (the “Company”) held its Annual Meeting of Shareholders (the “Annual Meeting”). Set forth below are the final voting results on each matter submitted to a vote of security holders at the Annual Meeting. Each proposal is described in detail in the Company’s Proxy Statement for the Annual Meeting, filed with the Securities and Exchange Commission on March 11, 2026 (the “2026 Proxy Statement”).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Proposal 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directors were elected to serve for three-year terms: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w w:val="96"/>
              </w:rPr>
              <w:t>Name</w:t>
            </w:r>
          </w:p>
        </w:tc>
        <w:tc>
          <w:tcPr>
            <w:tcW w:w="1320" w:type="dxa"/>
            <w:vAlign w:val="bottom"/>
          </w:tcPr>
          <w:p>
            <w:pPr>
              <w:spacing w:after="0"/>
              <w:rPr>
                <w:sz w:val="19"/>
                <w:szCs w:val="19"/>
                <w:color w:val="auto"/>
              </w:rPr>
            </w:pPr>
          </w:p>
        </w:tc>
        <w:tc>
          <w:tcPr>
            <w:tcW w:w="20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For</w:t>
            </w:r>
          </w:p>
        </w:tc>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Against</w:t>
            </w: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Abstain</w:t>
            </w: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w w:val="95"/>
              </w:rPr>
              <w:t>Broker Non-Votes</w:t>
            </w:r>
          </w:p>
        </w:tc>
      </w:tr>
      <w:tr>
        <w:trPr>
          <w:trHeight w:val="20"/>
        </w:trPr>
        <w:tc>
          <w:tcPr>
            <w:tcW w:w="4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297"/>
        </w:trPr>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Martha A. Morfitt</w:t>
            </w:r>
          </w:p>
        </w:tc>
        <w:tc>
          <w:tcPr>
            <w:tcW w:w="20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106,863,596</w:t>
            </w:r>
          </w:p>
        </w:tc>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28,824,596</w:t>
            </w: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122,114</w:t>
            </w: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9,590,164</w:t>
            </w:r>
          </w:p>
        </w:tc>
      </w:tr>
      <w:tr>
        <w:trPr>
          <w:trHeight w:val="282"/>
        </w:trPr>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 W. Sheahan</w:t>
            </w:r>
          </w:p>
        </w:tc>
        <w:tc>
          <w:tcPr>
            <w:tcW w:w="20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132,724,160</w:t>
            </w:r>
          </w:p>
        </w:tc>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2,951,700</w:t>
            </w: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134,446</w:t>
            </w: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9,590,164</w:t>
            </w:r>
          </w:p>
        </w:tc>
      </w:tr>
      <w:tr>
        <w:trPr>
          <w:trHeight w:val="258"/>
        </w:trPr>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Andrea H. Simon</w:t>
            </w:r>
          </w:p>
        </w:tc>
        <w:tc>
          <w:tcPr>
            <w:tcW w:w="20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132,597,162</w:t>
            </w:r>
          </w:p>
        </w:tc>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3,074,266</w:t>
            </w: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138,878</w:t>
            </w: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9,590,164</w:t>
            </w:r>
          </w:p>
        </w:tc>
      </w:tr>
      <w:tr>
        <w:trPr>
          <w:trHeight w:val="270"/>
        </w:trPr>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Kevin J. Wheeler</w:t>
            </w:r>
          </w:p>
        </w:tc>
        <w:tc>
          <w:tcPr>
            <w:tcW w:w="20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122,499,664</w:t>
            </w:r>
          </w:p>
        </w:tc>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13,190,197</w:t>
            </w: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120,445</w:t>
            </w: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9,590,164</w:t>
            </w: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Proposal 2</w:t>
      </w:r>
    </w:p>
    <w:p>
      <w:pPr>
        <w:spacing w:after="0" w:line="2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appointment of Deloitte &amp; Touche LLP as the Company’s independent registered public accounting firm for the fiscal year 2026 was ratified:</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w:t>
            </w:r>
          </w:p>
        </w:tc>
        <w:tc>
          <w:tcPr>
            <w:tcW w:w="1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Against</w:t>
            </w: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w w:val="96"/>
              </w:rPr>
              <w:t>Abstain</w:t>
            </w:r>
          </w:p>
        </w:tc>
      </w:tr>
      <w:tr>
        <w:trPr>
          <w:trHeight w:val="20"/>
        </w:trPr>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96"/>
        </w:trPr>
        <w:tc>
          <w:tcPr>
            <w:tcW w:w="1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136,856,929</w:t>
            </w:r>
          </w:p>
        </w:tc>
        <w:tc>
          <w:tcPr>
            <w:tcW w:w="1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8,452,772</w:t>
            </w: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90,769</w:t>
            </w: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Proposal 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approved, on an advisory basis, the compensation paid to the Company’s Named Executive Officers as disclosed in the 2026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Proxy Statement:</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w:t>
            </w:r>
          </w:p>
        </w:tc>
        <w:tc>
          <w:tcPr>
            <w:tcW w:w="21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Against</w:t>
            </w:r>
          </w:p>
        </w:tc>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Abstain</w:t>
            </w:r>
          </w:p>
        </w:tc>
        <w:tc>
          <w:tcPr>
            <w:tcW w:w="198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5"/>
              </w:rPr>
              <w:t>Broker Non-Votes</w:t>
            </w:r>
          </w:p>
        </w:tc>
      </w:tr>
      <w:tr>
        <w:trPr>
          <w:trHeight w:val="20"/>
        </w:trPr>
        <w:tc>
          <w:tcPr>
            <w:tcW w:w="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296"/>
        </w:trPr>
        <w:tc>
          <w:tcPr>
            <w:tcW w:w="1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92,678,242</w:t>
            </w:r>
          </w:p>
        </w:tc>
        <w:tc>
          <w:tcPr>
            <w:tcW w:w="21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42,778,401</w:t>
            </w:r>
          </w:p>
        </w:tc>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353,663</w:t>
            </w:r>
          </w:p>
        </w:tc>
        <w:tc>
          <w:tcPr>
            <w:tcW w:w="198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9,590,164</w:t>
            </w:r>
          </w:p>
        </w:tc>
      </w:tr>
    </w:tbl>
    <w:p>
      <w:pPr>
        <w:spacing w:after="0" w:line="200" w:lineRule="exact"/>
        <w:rPr>
          <w:sz w:val="20"/>
          <w:szCs w:val="20"/>
          <w:color w:val="auto"/>
        </w:rPr>
      </w:pPr>
    </w:p>
    <w:p>
      <w:pPr>
        <w:spacing w:after="0" w:line="2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Management Organization and Compensation Committee (the “Committee”) acknowledges the results of voting on the advisory resolution regarding executive compensation. During the remainder of 2026, the Committee will specifically consider these voting results and intends to seek engagement with key shareholders to obtain their views on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60" w:lineRule="exact"/>
        <w:rPr>
          <w:sz w:val="20"/>
          <w:szCs w:val="20"/>
          <w:color w:val="auto"/>
        </w:rPr>
      </w:pPr>
    </w:p>
    <w:p>
      <w:pPr>
        <w:ind w:firstLine="202"/>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GRACO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800" w:val="left"/>
          <w:tab w:leader="none" w:pos="3800" w:val="left"/>
          <w:tab w:leader="none" w:pos="44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u w:val="single" w:color="auto"/>
          <w:color w:val="auto"/>
        </w:rPr>
        <w:t>April 27,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Joseph James Humke</w:t>
      </w:r>
      <w:r>
        <w:rPr>
          <w:rFonts w:ascii="Times New Roman" w:cs="Times New Roman" w:eastAsia="Times New Roman" w:hAnsi="Times New Roman"/>
          <w:sz w:val="19"/>
          <w:szCs w:val="19"/>
          <w:color w:val="auto"/>
        </w:rPr>
        <w:t>______________________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Joseph James Humke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Its: Executive Vice President, General Counsel and Corporate Secretary</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2026-04-27T07:22:37Z</dcterms:created>
  <dcterms:modified xsi:type="dcterms:W3CDTF">2026-04-27T07:22:37Z</dcterms:modified>
</cp:coreProperties>
</file>