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252" w:lineRule="exact"/>
        <w:rPr>
          <w:sz w:val="24"/>
          <w:szCs w:val="24"/>
          <w:color w:val="auto"/>
        </w:rPr>
      </w:pPr>
    </w:p>
    <w:p>
      <w:pPr>
        <w:ind w:right="3920" w:firstLine="8"/>
        <w:spacing w:after="0" w:line="259"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March 27, 2026</w:t>
      </w:r>
    </w:p>
    <w:p>
      <w:pPr>
        <w:spacing w:after="0" w:line="1"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OR</w:t>
      </w:r>
    </w:p>
    <w:p>
      <w:pPr>
        <w:spacing w:after="0" w:line="236" w:lineRule="exact"/>
        <w:rPr>
          <w:sz w:val="24"/>
          <w:szCs w:val="24"/>
          <w:color w:val="auto"/>
        </w:rPr>
      </w:pPr>
    </w:p>
    <w:p>
      <w:pPr>
        <w:ind w:right="3880" w:firstLine="8"/>
        <w:spacing w:after="0" w:line="287" w:lineRule="auto"/>
        <w:tabs>
          <w:tab w:leader="none" w:pos="21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to</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001-09249</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GRACO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46355</wp:posOffset>
            </wp:positionV>
            <wp:extent cx="28543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61"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8" w:lineRule="exact"/>
        <w:rPr>
          <w:sz w:val="24"/>
          <w:szCs w:val="24"/>
          <w:color w:val="auto"/>
        </w:rPr>
      </w:pPr>
    </w:p>
    <w:tbl>
      <w:tblPr>
        <w:tblLayout w:type="fixed"/>
        <w:tblInd w:w="760" w:type="dxa"/>
        <w:tblCellMar>
          <w:top w:w="0" w:type="dxa"/>
          <w:left w:w="0" w:type="dxa"/>
          <w:bottom w:w="0" w:type="dxa"/>
          <w:right w:w="0" w:type="dxa"/>
        </w:tblCellMar>
      </w:tblPr>
      <w:tr>
        <w:trPr>
          <w:trHeight w:val="275"/>
        </w:trPr>
        <w:tc>
          <w:tcPr>
            <w:tcW w:w="5720" w:type="dxa"/>
            <w:vAlign w:val="bottom"/>
            <w:gridSpan w:val="3"/>
          </w:tcPr>
          <w:p>
            <w:pPr>
              <w:jc w:val="center"/>
              <w:ind w:right="940"/>
              <w:spacing w:after="0"/>
              <w:rPr>
                <w:sz w:val="20"/>
                <w:szCs w:val="20"/>
                <w:color w:val="auto"/>
              </w:rPr>
            </w:pPr>
            <w:r>
              <w:rPr>
                <w:rFonts w:ascii="Arial" w:cs="Arial" w:eastAsia="Arial" w:hAnsi="Arial"/>
                <w:sz w:val="18"/>
                <w:szCs w:val="18"/>
                <w:color w:val="auto"/>
                <w:w w:val="98"/>
              </w:rPr>
              <w:t>Minnesota</w:t>
            </w:r>
          </w:p>
        </w:tc>
        <w:tc>
          <w:tcPr>
            <w:tcW w:w="4000" w:type="dxa"/>
            <w:vAlign w:val="bottom"/>
            <w:gridSpan w:val="2"/>
          </w:tcPr>
          <w:p>
            <w:pPr>
              <w:ind w:left="1520"/>
              <w:spacing w:after="0"/>
              <w:rPr>
                <w:sz w:val="20"/>
                <w:szCs w:val="20"/>
                <w:color w:val="auto"/>
              </w:rPr>
            </w:pPr>
            <w:r>
              <w:rPr>
                <w:rFonts w:ascii="Arial" w:cs="Arial" w:eastAsia="Arial" w:hAnsi="Arial"/>
                <w:sz w:val="18"/>
                <w:szCs w:val="18"/>
                <w:color w:val="auto"/>
              </w:rPr>
              <w:t>41-0285640</w:t>
            </w:r>
          </w:p>
        </w:tc>
      </w:tr>
      <w:tr>
        <w:trPr>
          <w:trHeight w:val="169"/>
        </w:trPr>
        <w:tc>
          <w:tcPr>
            <w:tcW w:w="47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(State or other jurisdiction of incorporation or</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880" w:type="dxa"/>
            <w:vAlign w:val="bottom"/>
            <w:tcBorders>
              <w:top w:val="single" w:sz="8" w:color="auto"/>
            </w:tcBorders>
          </w:tcPr>
          <w:p>
            <w:pPr>
              <w:ind w:left="180"/>
              <w:spacing w:after="0" w:line="169" w:lineRule="exact"/>
              <w:rPr>
                <w:sz w:val="20"/>
                <w:szCs w:val="20"/>
                <w:color w:val="auto"/>
              </w:rPr>
            </w:pPr>
            <w:r>
              <w:rPr>
                <w:rFonts w:ascii="Arial" w:cs="Arial" w:eastAsia="Arial" w:hAnsi="Arial"/>
                <w:sz w:val="18"/>
                <w:szCs w:val="18"/>
                <w:color w:val="auto"/>
              </w:rPr>
              <w:t>(I.R.S. Employer Identification Number)</w:t>
            </w:r>
          </w:p>
        </w:tc>
      </w:tr>
      <w:tr>
        <w:trPr>
          <w:trHeight w:val="239"/>
        </w:trPr>
        <w:tc>
          <w:tcPr>
            <w:tcW w:w="5720" w:type="dxa"/>
            <w:vAlign w:val="bottom"/>
            <w:gridSpan w:val="3"/>
          </w:tcPr>
          <w:p>
            <w:pPr>
              <w:jc w:val="center"/>
              <w:ind w:right="1040"/>
              <w:spacing w:after="0"/>
              <w:rPr>
                <w:sz w:val="20"/>
                <w:szCs w:val="20"/>
                <w:color w:val="auto"/>
              </w:rPr>
            </w:pPr>
            <w:r>
              <w:rPr>
                <w:rFonts w:ascii="Arial" w:cs="Arial" w:eastAsia="Arial" w:hAnsi="Arial"/>
                <w:sz w:val="18"/>
                <w:szCs w:val="18"/>
                <w:color w:val="auto"/>
                <w:w w:val="99"/>
              </w:rPr>
              <w:t>organization)</w:t>
            </w:r>
          </w:p>
        </w:tc>
        <w:tc>
          <w:tcPr>
            <w:tcW w:w="12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670"/>
        </w:trPr>
        <w:tc>
          <w:tcPr>
            <w:tcW w:w="5720" w:type="dxa"/>
            <w:vAlign w:val="bottom"/>
            <w:gridSpan w:val="3"/>
          </w:tcPr>
          <w:p>
            <w:pPr>
              <w:ind w:left="1580"/>
              <w:spacing w:after="0"/>
              <w:rPr>
                <w:sz w:val="20"/>
                <w:szCs w:val="20"/>
                <w:color w:val="auto"/>
              </w:rPr>
            </w:pPr>
            <w:r>
              <w:rPr>
                <w:rFonts w:ascii="Arial" w:cs="Arial" w:eastAsia="Arial" w:hAnsi="Arial"/>
                <w:sz w:val="18"/>
                <w:szCs w:val="18"/>
                <w:color w:val="auto"/>
              </w:rPr>
              <w:t>88 - 11th Avenue N.E.</w:t>
            </w:r>
          </w:p>
        </w:tc>
        <w:tc>
          <w:tcPr>
            <w:tcW w:w="12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80"/>
        </w:trPr>
        <w:tc>
          <w:tcPr>
            <w:tcW w:w="5720" w:type="dxa"/>
            <w:vAlign w:val="bottom"/>
            <w:gridSpan w:val="3"/>
          </w:tcPr>
          <w:p>
            <w:pPr>
              <w:jc w:val="center"/>
              <w:ind w:right="1000"/>
              <w:spacing w:after="0"/>
              <w:rPr>
                <w:sz w:val="20"/>
                <w:szCs w:val="20"/>
                <w:color w:val="auto"/>
              </w:rPr>
            </w:pPr>
            <w:r>
              <w:rPr>
                <w:rFonts w:ascii="Arial" w:cs="Arial" w:eastAsia="Arial" w:hAnsi="Arial"/>
                <w:sz w:val="18"/>
                <w:szCs w:val="18"/>
                <w:color w:val="auto"/>
                <w:w w:val="99"/>
              </w:rPr>
              <w:t>Minneapolis, Minnesota</w:t>
            </w:r>
          </w:p>
        </w:tc>
        <w:tc>
          <w:tcPr>
            <w:tcW w:w="4000" w:type="dxa"/>
            <w:vAlign w:val="bottom"/>
            <w:gridSpan w:val="2"/>
          </w:tcPr>
          <w:p>
            <w:pPr>
              <w:jc w:val="right"/>
              <w:ind w:right="1590"/>
              <w:spacing w:after="0"/>
              <w:rPr>
                <w:sz w:val="20"/>
                <w:szCs w:val="20"/>
                <w:color w:val="auto"/>
              </w:rPr>
            </w:pPr>
            <w:r>
              <w:rPr>
                <w:rFonts w:ascii="Arial" w:cs="Arial" w:eastAsia="Arial" w:hAnsi="Arial"/>
                <w:sz w:val="18"/>
                <w:szCs w:val="18"/>
                <w:color w:val="auto"/>
              </w:rPr>
              <w:t>55413</w:t>
            </w:r>
          </w:p>
        </w:tc>
      </w:tr>
      <w:tr>
        <w:trPr>
          <w:trHeight w:val="232"/>
        </w:trPr>
        <w:tc>
          <w:tcPr>
            <w:tcW w:w="490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8"/>
                <w:szCs w:val="18"/>
                <w:color w:val="auto"/>
                <w:w w:val="99"/>
              </w:rPr>
              <w:t>(Address of principal executive offices)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tcBorders>
              <w:top w:val="single" w:sz="8" w:color="auto"/>
            </w:tcBorders>
          </w:tcPr>
          <w:p>
            <w:pPr>
              <w:ind w:left="1400"/>
              <w:spacing w:after="0"/>
              <w:rPr>
                <w:sz w:val="20"/>
                <w:szCs w:val="20"/>
                <w:color w:val="auto"/>
              </w:rPr>
            </w:pPr>
            <w:r>
              <w:rPr>
                <w:rFonts w:ascii="Arial" w:cs="Arial" w:eastAsia="Arial" w:hAnsi="Arial"/>
                <w:sz w:val="18"/>
                <w:szCs w:val="18"/>
                <w:color w:val="auto"/>
              </w:rPr>
              <w:t>(Zip Code)</w:t>
            </w:r>
          </w:p>
        </w:tc>
      </w:tr>
    </w:tbl>
    <w:p>
      <w:pPr>
        <w:spacing w:after="0" w:line="242" w:lineRule="exact"/>
        <w:rPr>
          <w:sz w:val="24"/>
          <w:szCs w:val="24"/>
          <w:color w:val="auto"/>
        </w:rPr>
      </w:pPr>
    </w:p>
    <w:p>
      <w:pPr>
        <w:ind w:left="5180"/>
        <w:spacing w:after="0"/>
        <w:rPr>
          <w:sz w:val="20"/>
          <w:szCs w:val="20"/>
          <w:color w:val="auto"/>
        </w:rPr>
      </w:pPr>
      <w:r>
        <w:rPr>
          <w:rFonts w:ascii="Arial" w:cs="Arial" w:eastAsia="Arial" w:hAnsi="Arial"/>
          <w:sz w:val="18"/>
          <w:szCs w:val="18"/>
          <w:color w:val="auto"/>
        </w:rPr>
        <w:t>(612) 623-6000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17780</wp:posOffset>
            </wp:positionV>
            <wp:extent cx="32918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43"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(Registrant’s telephone number, including area code)</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9" w:lineRule="exact"/>
        <w:rPr>
          <w:sz w:val="24"/>
          <w:szCs w:val="24"/>
          <w:color w:val="auto"/>
        </w:rPr>
      </w:pPr>
    </w:p>
    <w:tbl>
      <w:tblPr>
        <w:tblLayout w:type="fixed"/>
        <w:tblInd w:w="770" w:type="dxa"/>
        <w:tblCellMar>
          <w:top w:w="0" w:type="dxa"/>
          <w:left w:w="0" w:type="dxa"/>
          <w:bottom w:w="0" w:type="dxa"/>
          <w:right w:w="0" w:type="dxa"/>
        </w:tblCellMar>
      </w:tblPr>
      <w:tr>
        <w:trPr>
          <w:trHeight w:val="270"/>
        </w:trPr>
        <w:tc>
          <w:tcPr>
            <w:tcW w:w="39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Title of each class</w:t>
            </w:r>
          </w:p>
        </w:tc>
        <w:tc>
          <w:tcPr>
            <w:tcW w:w="1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Trading Symbol(s)</w:t>
            </w:r>
          </w:p>
        </w:tc>
        <w:tc>
          <w:tcPr>
            <w:tcW w:w="3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50"/>
        </w:trPr>
        <w:tc>
          <w:tcPr>
            <w:tcW w:w="3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$1.00 per share</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GGG</w:t>
            </w:r>
          </w:p>
        </w:tc>
        <w:tc>
          <w:tcPr>
            <w:tcW w:w="3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The New York Stock Exchange</w:t>
            </w:r>
          </w:p>
        </w:tc>
      </w:tr>
    </w:tbl>
    <w:p>
      <w:pPr>
        <w:spacing w:after="0" w:line="31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6" w:lineRule="exact"/>
        <w:rPr>
          <w:sz w:val="24"/>
          <w:szCs w:val="24"/>
          <w:color w:val="auto"/>
        </w:rPr>
      </w:pPr>
    </w:p>
    <w:p>
      <w:pPr>
        <w:ind w:left="4440"/>
        <w:spacing w:after="0" w:line="207" w:lineRule="exact"/>
        <w:tabs>
          <w:tab w:leader="none" w:pos="4940" w:val="left"/>
          <w:tab w:leader="none" w:pos="6100" w:val="left"/>
          <w:tab w:leader="none" w:pos="6560" w:val="left"/>
        </w:tabs>
        <w:rPr>
          <w:sz w:val="20"/>
          <w:szCs w:val="20"/>
          <w:color w:val="auto"/>
        </w:rPr>
      </w:pPr>
      <w:r>
        <w:rPr>
          <w:rFonts w:ascii="Arial" w:cs="Arial" w:eastAsia="Arial" w:hAnsi="Arial"/>
          <w:sz w:val="18"/>
          <w:szCs w:val="18"/>
          <w:color w:val="auto"/>
        </w:rPr>
        <w:t>Yes</w:t>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144" w:lineRule="exact"/>
        <w:rPr>
          <w:sz w:val="24"/>
          <w:szCs w:val="24"/>
          <w:color w:val="auto"/>
        </w:rPr>
      </w:pPr>
    </w:p>
    <w:p>
      <w:pPr>
        <w:ind w:right="200"/>
        <w:spacing w:after="0" w:line="268"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76" w:lineRule="exact"/>
        <w:rPr>
          <w:sz w:val="24"/>
          <w:szCs w:val="24"/>
          <w:color w:val="auto"/>
        </w:rPr>
      </w:pPr>
    </w:p>
    <w:p>
      <w:pPr>
        <w:ind w:left="4440"/>
        <w:spacing w:after="0" w:line="207" w:lineRule="exact"/>
        <w:tabs>
          <w:tab w:leader="none" w:pos="4940" w:val="left"/>
          <w:tab w:leader="none" w:pos="6100" w:val="left"/>
          <w:tab w:leader="none" w:pos="6560" w:val="left"/>
        </w:tabs>
        <w:rPr>
          <w:sz w:val="20"/>
          <w:szCs w:val="20"/>
          <w:color w:val="auto"/>
        </w:rPr>
      </w:pPr>
      <w:r>
        <w:rPr>
          <w:rFonts w:ascii="Arial" w:cs="Arial" w:eastAsia="Arial" w:hAnsi="Arial"/>
          <w:sz w:val="18"/>
          <w:szCs w:val="18"/>
          <w:color w:val="auto"/>
        </w:rPr>
        <w:t>Yes</w:t>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144" w:lineRule="exact"/>
        <w:rPr>
          <w:sz w:val="24"/>
          <w:szCs w:val="24"/>
          <w:color w:val="auto"/>
        </w:rPr>
      </w:pPr>
    </w:p>
    <w:p>
      <w:pPr>
        <w:ind w:right="28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0" w:lineRule="exact"/>
        <w:rPr>
          <w:sz w:val="24"/>
          <w:szCs w:val="24"/>
          <w:color w:val="auto"/>
        </w:rPr>
      </w:pPr>
    </w:p>
    <w:tbl>
      <w:tblPr>
        <w:tblLayout w:type="fixed"/>
        <w:tblInd w:w="900" w:type="dxa"/>
        <w:tblCellMar>
          <w:top w:w="0" w:type="dxa"/>
          <w:left w:w="0" w:type="dxa"/>
          <w:bottom w:w="0" w:type="dxa"/>
          <w:right w:w="0" w:type="dxa"/>
        </w:tblCellMar>
      </w:tblPr>
      <w:tr>
        <w:trPr>
          <w:trHeight w:val="270"/>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980" w:type="dxa"/>
            <w:vAlign w:val="bottom"/>
          </w:tcPr>
          <w:p>
            <w:pPr>
              <w:ind w:left="20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48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1"/>
        </w:trPr>
        <w:tc>
          <w:tcPr>
            <w:tcW w:w="2020" w:type="dxa"/>
            <w:vAlign w:val="bottom"/>
          </w:tcPr>
          <w:p>
            <w:pPr>
              <w:spacing w:after="0" w:line="181" w:lineRule="exact"/>
              <w:rPr>
                <w:sz w:val="20"/>
                <w:szCs w:val="20"/>
                <w:color w:val="auto"/>
              </w:rPr>
            </w:pPr>
            <w:r>
              <w:rPr>
                <w:rFonts w:ascii="Arial" w:cs="Arial" w:eastAsia="Arial" w:hAnsi="Arial"/>
                <w:sz w:val="18"/>
                <w:szCs w:val="18"/>
                <w:color w:val="auto"/>
              </w:rPr>
              <w:t>Emerging growth</w:t>
            </w:r>
          </w:p>
        </w:tc>
        <w:tc>
          <w:tcPr>
            <w:tcW w:w="60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98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2020" w:type="dxa"/>
            <w:vAlign w:val="bottom"/>
          </w:tcPr>
          <w:p>
            <w:pPr>
              <w:spacing w:after="0"/>
              <w:rPr>
                <w:sz w:val="20"/>
                <w:szCs w:val="20"/>
                <w:color w:val="auto"/>
              </w:rPr>
            </w:pPr>
            <w:r>
              <w:rPr>
                <w:rFonts w:ascii="Arial" w:cs="Arial" w:eastAsia="Arial" w:hAnsi="Arial"/>
                <w:sz w:val="18"/>
                <w:szCs w:val="18"/>
                <w:color w:val="auto"/>
              </w:rPr>
              <w:t>company</w:t>
            </w:r>
          </w:p>
        </w:tc>
        <w:tc>
          <w:tcPr>
            <w:tcW w:w="600" w:type="dxa"/>
            <w:vAlign w:val="bottom"/>
            <w:vMerge w:val="continue"/>
          </w:tcPr>
          <w:p>
            <w:pPr>
              <w:spacing w:after="0"/>
              <w:rPr>
                <w:sz w:val="23"/>
                <w:szCs w:val="23"/>
                <w:color w:val="auto"/>
              </w:rPr>
            </w:pPr>
          </w:p>
        </w:tc>
        <w:tc>
          <w:tcPr>
            <w:tcW w:w="1980" w:type="dxa"/>
            <w:vAlign w:val="bottom"/>
          </w:tcPr>
          <w:p>
            <w:pPr>
              <w:spacing w:after="0"/>
              <w:rPr>
                <w:sz w:val="23"/>
                <w:szCs w:val="23"/>
                <w:color w:val="auto"/>
              </w:rPr>
            </w:pPr>
          </w:p>
        </w:tc>
        <w:tc>
          <w:tcPr>
            <w:tcW w:w="48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7" w:lineRule="exact"/>
        <w:rPr>
          <w:sz w:val="24"/>
          <w:szCs w:val="24"/>
          <w:color w:val="auto"/>
        </w:rPr>
      </w:pPr>
    </w:p>
    <w:p>
      <w:pPr>
        <w:ind w:right="14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44" w:lineRule="exact"/>
        <w:rPr>
          <w:sz w:val="24"/>
          <w:szCs w:val="24"/>
          <w:color w:val="auto"/>
        </w:rPr>
      </w:pPr>
    </w:p>
    <w:p>
      <w:pPr>
        <w:ind w:left="4440"/>
        <w:spacing w:after="0" w:line="207" w:lineRule="exact"/>
        <w:tabs>
          <w:tab w:leader="none" w:pos="4940" w:val="left"/>
          <w:tab w:leader="none" w:pos="6100" w:val="left"/>
          <w:tab w:leader="none" w:pos="6560" w:val="left"/>
        </w:tabs>
        <w:rPr>
          <w:sz w:val="20"/>
          <w:szCs w:val="20"/>
          <w:color w:val="auto"/>
        </w:rPr>
      </w:pPr>
      <w:r>
        <w:rPr>
          <w:rFonts w:ascii="Arial" w:cs="Arial" w:eastAsia="Arial" w:hAnsi="Arial"/>
          <w:sz w:val="18"/>
          <w:szCs w:val="18"/>
          <w:color w:val="auto"/>
        </w:rPr>
        <w:t>Yes</w:t>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387" w:lineRule="exact"/>
        <w:rPr>
          <w:sz w:val="24"/>
          <w:szCs w:val="24"/>
          <w:color w:val="auto"/>
        </w:rPr>
      </w:pPr>
    </w:p>
    <w:p>
      <w:pPr>
        <w:spacing w:after="0"/>
        <w:rPr>
          <w:sz w:val="20"/>
          <w:szCs w:val="20"/>
          <w:color w:val="auto"/>
        </w:rPr>
      </w:pPr>
      <w:r>
        <w:rPr>
          <w:rFonts w:ascii="Arial" w:cs="Arial" w:eastAsia="Arial" w:hAnsi="Arial"/>
          <w:sz w:val="18"/>
          <w:szCs w:val="18"/>
          <w:color w:val="auto"/>
        </w:rPr>
        <w:t>165,968,177 shares of the Registrant’s Common Stock, $1.00 par value, were outstanding as of April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485140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1" w:name="page2"/>
    <w:bookmarkEnd w:id="1"/>
    <w:p>
      <w:pPr>
        <w:ind w:left="4740"/>
        <w:spacing w:after="0"/>
        <w:rPr>
          <w:sz w:val="20"/>
          <w:szCs w:val="20"/>
          <w:color w:val="auto"/>
        </w:rPr>
      </w:pPr>
      <w:r>
        <w:rPr>
          <w:rFonts w:ascii="Arial" w:cs="Arial" w:eastAsia="Arial" w:hAnsi="Arial"/>
          <w:sz w:val="22"/>
          <w:szCs w:val="22"/>
          <w:b w:val="1"/>
          <w:bCs w:val="1"/>
          <w:color w:val="auto"/>
        </w:rPr>
        <w:t>TABLE OF CONTENTS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0280" w:type="dxa"/>
            <w:vAlign w:val="bottom"/>
            <w:gridSpan w:val="17"/>
            <w:vMerge w:val="restart"/>
          </w:tcPr>
          <w:p>
            <w:pPr>
              <w:spacing w:after="0"/>
              <w:rPr>
                <w:sz w:val="20"/>
                <w:szCs w:val="20"/>
                <w:color w:val="auto"/>
              </w:rPr>
            </w:pPr>
            <w:r>
              <w:rPr>
                <w:rFonts w:ascii="Arial" w:cs="Arial" w:eastAsia="Arial" w:hAnsi="Arial"/>
                <w:sz w:val="22"/>
                <w:szCs w:val="22"/>
                <w:b w:val="1"/>
                <w:bCs w:val="1"/>
                <w:color w:val="auto"/>
              </w:rPr>
              <w:t>PART I - FINANCIAL INFORMATION</w:t>
            </w:r>
          </w:p>
        </w:tc>
        <w:tc>
          <w:tcPr>
            <w:tcW w:w="9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63"/>
        </w:trPr>
        <w:tc>
          <w:tcPr>
            <w:tcW w:w="10280" w:type="dxa"/>
            <w:vAlign w:val="bottom"/>
            <w:gridSpan w:val="17"/>
            <w:vMerge w:val="continue"/>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60" w:type="dxa"/>
            <w:vAlign w:val="bottom"/>
          </w:tcPr>
          <w:p>
            <w:pPr>
              <w:jc w:val="right"/>
              <w:ind w:right="66"/>
              <w:spacing w:after="0"/>
              <w:rPr>
                <w:sz w:val="20"/>
                <w:szCs w:val="20"/>
                <w:color w:val="auto"/>
              </w:rPr>
            </w:pPr>
            <w:r>
              <w:rPr>
                <w:rFonts w:ascii="Arial" w:cs="Arial" w:eastAsia="Arial" w:hAnsi="Arial"/>
                <w:sz w:val="18"/>
                <w:szCs w:val="18"/>
                <w:color w:val="auto"/>
              </w:rPr>
              <w:t>Item 1.</w:t>
            </w:r>
          </w:p>
        </w:tc>
        <w:tc>
          <w:tcPr>
            <w:tcW w:w="16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8"/>
              </w:rPr>
              <w:t>Financial Statements</w:t>
            </w:r>
          </w:p>
        </w:tc>
        <w:tc>
          <w:tcPr>
            <w:tcW w:w="7440" w:type="dxa"/>
            <w:vAlign w:val="bottom"/>
            <w:gridSpan w:val="11"/>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920" w:type="dxa"/>
            <w:vAlign w:val="bottom"/>
            <w:gridSpan w:val="15"/>
          </w:tcPr>
          <w:p>
            <w:pPr>
              <w:spacing w:after="0"/>
              <w:rPr>
                <w:sz w:val="20"/>
                <w:szCs w:val="20"/>
                <w:color w:val="auto"/>
              </w:rPr>
            </w:pPr>
            <w:r>
              <w:rPr>
                <w:rFonts w:ascii="Arial" w:cs="Arial" w:eastAsia="Arial" w:hAnsi="Arial"/>
                <w:sz w:val="18"/>
                <w:szCs w:val="18"/>
                <w:color w:val="0000FF"/>
              </w:rPr>
              <w:t>Consolidated Statements of Earnings</w:t>
            </w:r>
          </w:p>
        </w:tc>
        <w:tc>
          <w:tcPr>
            <w:tcW w:w="940" w:type="dxa"/>
            <w:vAlign w:val="bottom"/>
          </w:tcPr>
          <w:p>
            <w:pPr>
              <w:jc w:val="center"/>
              <w:spacing w:after="0"/>
              <w:rPr>
                <w:sz w:val="20"/>
                <w:szCs w:val="20"/>
                <w:color w:val="auto"/>
              </w:rPr>
            </w:pPr>
            <w:r>
              <w:rPr>
                <w:rFonts w:ascii="Arial" w:cs="Arial" w:eastAsia="Arial" w:hAnsi="Arial"/>
                <w:sz w:val="18"/>
                <w:szCs w:val="18"/>
                <w:color w:val="0000FF"/>
                <w:w w:val="99"/>
              </w:rPr>
              <w:t>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1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Consolidated Statements of Comprehensive Income</w:t>
            </w:r>
          </w:p>
        </w:tc>
        <w:tc>
          <w:tcPr>
            <w:tcW w:w="4760" w:type="dxa"/>
            <w:vAlign w:val="bottom"/>
            <w:gridSpan w:val="4"/>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0000FF"/>
                <w:w w:val="99"/>
              </w:rPr>
              <w:t>3</w:t>
            </w:r>
          </w:p>
        </w:tc>
        <w:tc>
          <w:tcPr>
            <w:tcW w:w="0" w:type="dxa"/>
            <w:vAlign w:val="bottom"/>
          </w:tcPr>
          <w:p>
            <w:pPr>
              <w:spacing w:after="0"/>
              <w:rPr>
                <w:sz w:val="1"/>
                <w:szCs w:val="1"/>
                <w:color w:val="auto"/>
              </w:rPr>
            </w:pPr>
          </w:p>
        </w:tc>
      </w:tr>
      <w:tr>
        <w:trPr>
          <w:trHeight w:val="264"/>
        </w:trPr>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3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Consolidated Balance Sheets</w:t>
            </w:r>
          </w:p>
        </w:tc>
        <w:tc>
          <w:tcPr>
            <w:tcW w:w="6560" w:type="dxa"/>
            <w:vAlign w:val="bottom"/>
            <w:gridSpan w:val="9"/>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0000FF"/>
                <w:w w:val="99"/>
              </w:rPr>
              <w:t>4</w:t>
            </w: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Consolidated Statements of Cash Flows</w:t>
            </w:r>
          </w:p>
        </w:tc>
        <w:tc>
          <w:tcPr>
            <w:tcW w:w="5720" w:type="dxa"/>
            <w:vAlign w:val="bottom"/>
            <w:gridSpan w:val="7"/>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0000FF"/>
                <w:w w:val="99"/>
              </w:rPr>
              <w:t>5</w:t>
            </w: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9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Consolidated Statements of Shareholders' Equity</w:t>
            </w:r>
          </w:p>
        </w:tc>
        <w:tc>
          <w:tcPr>
            <w:tcW w:w="5000" w:type="dxa"/>
            <w:vAlign w:val="bottom"/>
            <w:gridSpan w:val="5"/>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0000FF"/>
                <w:w w:val="99"/>
              </w:rPr>
              <w:t>6</w:t>
            </w: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5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Notes to Consolidated Financial Statements</w:t>
            </w:r>
          </w:p>
        </w:tc>
        <w:tc>
          <w:tcPr>
            <w:tcW w:w="5420" w:type="dxa"/>
            <w:vAlign w:val="bottom"/>
            <w:gridSpan w:val="6"/>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0000FF"/>
                <w:w w:val="99"/>
              </w:rPr>
              <w:t>7</w:t>
            </w:r>
          </w:p>
        </w:tc>
        <w:tc>
          <w:tcPr>
            <w:tcW w:w="0" w:type="dxa"/>
            <w:vAlign w:val="bottom"/>
          </w:tcPr>
          <w:p>
            <w:pPr>
              <w:spacing w:after="0"/>
              <w:rPr>
                <w:sz w:val="1"/>
                <w:szCs w:val="1"/>
                <w:color w:val="auto"/>
              </w:rPr>
            </w:pPr>
          </w:p>
        </w:tc>
      </w:tr>
      <w:tr>
        <w:trPr>
          <w:trHeight w:val="263"/>
        </w:trPr>
        <w:tc>
          <w:tcPr>
            <w:tcW w:w="1160" w:type="dxa"/>
            <w:vAlign w:val="bottom"/>
          </w:tcPr>
          <w:p>
            <w:pPr>
              <w:jc w:val="right"/>
              <w:ind w:right="66"/>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04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0000FF"/>
                <w:w w:val="99"/>
              </w:rPr>
              <w:t>14</w:t>
            </w:r>
          </w:p>
        </w:tc>
        <w:tc>
          <w:tcPr>
            <w:tcW w:w="0" w:type="dxa"/>
            <w:vAlign w:val="bottom"/>
          </w:tcPr>
          <w:p>
            <w:pPr>
              <w:spacing w:after="0"/>
              <w:rPr>
                <w:sz w:val="1"/>
                <w:szCs w:val="1"/>
                <w:color w:val="auto"/>
              </w:rPr>
            </w:pPr>
          </w:p>
        </w:tc>
      </w:tr>
      <w:tr>
        <w:trPr>
          <w:trHeight w:val="264"/>
        </w:trPr>
        <w:tc>
          <w:tcPr>
            <w:tcW w:w="1160" w:type="dxa"/>
            <w:vAlign w:val="bottom"/>
          </w:tcPr>
          <w:p>
            <w:pPr>
              <w:jc w:val="right"/>
              <w:ind w:right="66"/>
              <w:spacing w:after="0"/>
              <w:rPr>
                <w:sz w:val="20"/>
                <w:szCs w:val="20"/>
                <w:color w:val="auto"/>
              </w:rPr>
            </w:pPr>
            <w:r>
              <w:rPr>
                <w:rFonts w:ascii="Arial" w:cs="Arial" w:eastAsia="Arial" w:hAnsi="Arial"/>
                <w:sz w:val="18"/>
                <w:szCs w:val="18"/>
                <w:color w:val="auto"/>
              </w:rPr>
              <w:t>Item 3.</w:t>
            </w:r>
          </w:p>
        </w:tc>
        <w:tc>
          <w:tcPr>
            <w:tcW w:w="9120" w:type="dxa"/>
            <w:vAlign w:val="bottom"/>
            <w:gridSpan w:val="16"/>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940" w:type="dxa"/>
            <w:vAlign w:val="bottom"/>
          </w:tcPr>
          <w:p>
            <w:pPr>
              <w:jc w:val="center"/>
              <w:spacing w:after="0"/>
              <w:rPr>
                <w:sz w:val="20"/>
                <w:szCs w:val="20"/>
                <w:color w:val="auto"/>
              </w:rPr>
            </w:pPr>
            <w:r>
              <w:rPr>
                <w:rFonts w:ascii="Arial" w:cs="Arial" w:eastAsia="Arial" w:hAnsi="Arial"/>
                <w:sz w:val="18"/>
                <w:szCs w:val="18"/>
                <w:color w:val="0000FF"/>
                <w:w w:val="99"/>
              </w:rPr>
              <w:t>20</w:t>
            </w:r>
          </w:p>
        </w:tc>
        <w:tc>
          <w:tcPr>
            <w:tcW w:w="0" w:type="dxa"/>
            <w:vAlign w:val="bottom"/>
          </w:tcPr>
          <w:p>
            <w:pPr>
              <w:spacing w:after="0"/>
              <w:rPr>
                <w:sz w:val="1"/>
                <w:szCs w:val="1"/>
                <w:color w:val="auto"/>
              </w:rPr>
            </w:pPr>
          </w:p>
        </w:tc>
      </w:tr>
      <w:tr>
        <w:trPr>
          <w:trHeight w:val="263"/>
        </w:trPr>
        <w:tc>
          <w:tcPr>
            <w:tcW w:w="1160" w:type="dxa"/>
            <w:vAlign w:val="bottom"/>
          </w:tcPr>
          <w:p>
            <w:pPr>
              <w:jc w:val="right"/>
              <w:ind w:right="66"/>
              <w:spacing w:after="0"/>
              <w:rPr>
                <w:sz w:val="20"/>
                <w:szCs w:val="20"/>
                <w:color w:val="auto"/>
              </w:rPr>
            </w:pPr>
            <w:r>
              <w:rPr>
                <w:rFonts w:ascii="Arial" w:cs="Arial" w:eastAsia="Arial" w:hAnsi="Arial"/>
                <w:sz w:val="18"/>
                <w:szCs w:val="18"/>
                <w:color w:val="auto"/>
              </w:rPr>
              <w:t>Item 4.</w:t>
            </w:r>
          </w:p>
        </w:tc>
        <w:tc>
          <w:tcPr>
            <w:tcW w:w="470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Controls and Procedures</w:t>
            </w:r>
          </w:p>
        </w:tc>
        <w:tc>
          <w:tcPr>
            <w:tcW w:w="4420" w:type="dxa"/>
            <w:vAlign w:val="bottom"/>
            <w:gridSpan w:val="3"/>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0000FF"/>
                <w:w w:val="99"/>
              </w:rPr>
              <w:t>20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60" w:type="dxa"/>
            <w:vAlign w:val="bottom"/>
            <w:gridSpan w:val="8"/>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10280" w:type="dxa"/>
            <w:vAlign w:val="bottom"/>
            <w:gridSpan w:val="17"/>
          </w:tcPr>
          <w:p>
            <w:pPr>
              <w:spacing w:after="0"/>
              <w:rPr>
                <w:sz w:val="20"/>
                <w:szCs w:val="20"/>
                <w:color w:val="auto"/>
              </w:rPr>
            </w:pPr>
            <w:r>
              <w:rPr>
                <w:rFonts w:ascii="Arial" w:cs="Arial" w:eastAsia="Arial" w:hAnsi="Arial"/>
                <w:sz w:val="22"/>
                <w:szCs w:val="22"/>
                <w:b w:val="1"/>
                <w:bCs w:val="1"/>
                <w:color w:val="auto"/>
              </w:rPr>
              <w:t>PART II - OTHER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160" w:type="dxa"/>
            <w:vAlign w:val="bottom"/>
          </w:tcPr>
          <w:p>
            <w:pPr>
              <w:jc w:val="right"/>
              <w:ind w:right="66"/>
              <w:spacing w:after="0"/>
              <w:rPr>
                <w:sz w:val="20"/>
                <w:szCs w:val="20"/>
                <w:color w:val="auto"/>
              </w:rPr>
            </w:pPr>
            <w:r>
              <w:rPr>
                <w:rFonts w:ascii="Arial" w:cs="Arial" w:eastAsia="Arial" w:hAnsi="Arial"/>
                <w:sz w:val="18"/>
                <w:szCs w:val="18"/>
                <w:color w:val="auto"/>
              </w:rPr>
              <w:t>Item 1A.</w:t>
            </w:r>
          </w:p>
        </w:tc>
        <w:tc>
          <w:tcPr>
            <w:tcW w:w="10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7"/>
              </w:rPr>
              <w:t>Risk Factors</w:t>
            </w:r>
          </w:p>
        </w:tc>
        <w:tc>
          <w:tcPr>
            <w:tcW w:w="8120" w:type="dxa"/>
            <w:vAlign w:val="bottom"/>
            <w:gridSpan w:val="13"/>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0000FF"/>
                <w:w w:val="99"/>
              </w:rPr>
              <w:t>21</w:t>
            </w:r>
          </w:p>
        </w:tc>
        <w:tc>
          <w:tcPr>
            <w:tcW w:w="0" w:type="dxa"/>
            <w:vAlign w:val="bottom"/>
          </w:tcPr>
          <w:p>
            <w:pPr>
              <w:spacing w:after="0"/>
              <w:rPr>
                <w:sz w:val="1"/>
                <w:szCs w:val="1"/>
                <w:color w:val="auto"/>
              </w:rPr>
            </w:pPr>
          </w:p>
        </w:tc>
      </w:tr>
      <w:tr>
        <w:trPr>
          <w:trHeight w:val="263"/>
        </w:trPr>
        <w:tc>
          <w:tcPr>
            <w:tcW w:w="1160" w:type="dxa"/>
            <w:vAlign w:val="bottom"/>
          </w:tcPr>
          <w:p>
            <w:pPr>
              <w:jc w:val="right"/>
              <w:ind w:right="66"/>
              <w:spacing w:after="0"/>
              <w:rPr>
                <w:sz w:val="20"/>
                <w:szCs w:val="20"/>
                <w:color w:val="auto"/>
              </w:rPr>
            </w:pPr>
            <w:r>
              <w:rPr>
                <w:rFonts w:ascii="Arial" w:cs="Arial" w:eastAsia="Arial" w:hAnsi="Arial"/>
                <w:sz w:val="18"/>
                <w:szCs w:val="18"/>
                <w:color w:val="auto"/>
              </w:rPr>
              <w:t>Item 2.</w:t>
            </w:r>
          </w:p>
        </w:tc>
        <w:tc>
          <w:tcPr>
            <w:tcW w:w="9120" w:type="dxa"/>
            <w:vAlign w:val="bottom"/>
            <w:gridSpan w:val="16"/>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940" w:type="dxa"/>
            <w:vAlign w:val="bottom"/>
          </w:tcPr>
          <w:p>
            <w:pPr>
              <w:jc w:val="center"/>
              <w:spacing w:after="0"/>
              <w:rPr>
                <w:sz w:val="20"/>
                <w:szCs w:val="20"/>
                <w:color w:val="auto"/>
              </w:rPr>
            </w:pPr>
            <w:r>
              <w:rPr>
                <w:rFonts w:ascii="Arial" w:cs="Arial" w:eastAsia="Arial" w:hAnsi="Arial"/>
                <w:sz w:val="18"/>
                <w:szCs w:val="18"/>
                <w:color w:val="0000FF"/>
                <w:w w:val="99"/>
              </w:rPr>
              <w:t>22</w:t>
            </w:r>
          </w:p>
        </w:tc>
        <w:tc>
          <w:tcPr>
            <w:tcW w:w="0" w:type="dxa"/>
            <w:vAlign w:val="bottom"/>
          </w:tcPr>
          <w:p>
            <w:pPr>
              <w:spacing w:after="0"/>
              <w:rPr>
                <w:sz w:val="1"/>
                <w:szCs w:val="1"/>
                <w:color w:val="auto"/>
              </w:rPr>
            </w:pPr>
          </w:p>
        </w:tc>
      </w:tr>
      <w:tr>
        <w:trPr>
          <w:trHeight w:val="263"/>
        </w:trPr>
        <w:tc>
          <w:tcPr>
            <w:tcW w:w="1160" w:type="dxa"/>
            <w:vAlign w:val="bottom"/>
          </w:tcPr>
          <w:p>
            <w:pPr>
              <w:jc w:val="right"/>
              <w:ind w:right="66"/>
              <w:spacing w:after="0"/>
              <w:rPr>
                <w:sz w:val="20"/>
                <w:szCs w:val="20"/>
                <w:color w:val="auto"/>
              </w:rPr>
            </w:pPr>
            <w:r>
              <w:rPr>
                <w:rFonts w:ascii="Arial" w:cs="Arial" w:eastAsia="Arial" w:hAnsi="Arial"/>
                <w:sz w:val="18"/>
                <w:szCs w:val="18"/>
                <w:color w:val="auto"/>
              </w:rPr>
              <w:t>Item 5.</w:t>
            </w:r>
          </w:p>
        </w:tc>
        <w:tc>
          <w:tcPr>
            <w:tcW w:w="14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8"/>
              </w:rPr>
              <w:t>Other Information</w:t>
            </w:r>
          </w:p>
        </w:tc>
        <w:tc>
          <w:tcPr>
            <w:tcW w:w="3440" w:type="dxa"/>
            <w:vAlign w:val="bottom"/>
            <w:tcBorders>
              <w:top w:val="single" w:sz="8" w:color="0000FF"/>
            </w:tcBorders>
            <w:gridSpan w:val="10"/>
          </w:tcPr>
          <w:p>
            <w:pPr>
              <w:spacing w:after="0"/>
              <w:rPr>
                <w:sz w:val="22"/>
                <w:szCs w:val="22"/>
                <w:color w:val="auto"/>
              </w:rPr>
            </w:pPr>
          </w:p>
        </w:tc>
        <w:tc>
          <w:tcPr>
            <w:tcW w:w="4280" w:type="dxa"/>
            <w:vAlign w:val="bottom"/>
            <w:gridSpan w:val="2"/>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0000FF"/>
                <w:w w:val="99"/>
              </w:rPr>
              <w:t>23</w:t>
            </w:r>
          </w:p>
        </w:tc>
        <w:tc>
          <w:tcPr>
            <w:tcW w:w="0" w:type="dxa"/>
            <w:vAlign w:val="bottom"/>
          </w:tcPr>
          <w:p>
            <w:pPr>
              <w:spacing w:after="0"/>
              <w:rPr>
                <w:sz w:val="1"/>
                <w:szCs w:val="1"/>
                <w:color w:val="auto"/>
              </w:rPr>
            </w:pPr>
          </w:p>
        </w:tc>
      </w:tr>
      <w:tr>
        <w:trPr>
          <w:trHeight w:val="263"/>
        </w:trPr>
        <w:tc>
          <w:tcPr>
            <w:tcW w:w="1160" w:type="dxa"/>
            <w:vAlign w:val="bottom"/>
          </w:tcPr>
          <w:p>
            <w:pPr>
              <w:jc w:val="right"/>
              <w:ind w:right="66"/>
              <w:spacing w:after="0"/>
              <w:rPr>
                <w:sz w:val="20"/>
                <w:szCs w:val="20"/>
                <w:color w:val="auto"/>
              </w:rPr>
            </w:pPr>
            <w:r>
              <w:rPr>
                <w:rFonts w:ascii="Arial" w:cs="Arial" w:eastAsia="Arial" w:hAnsi="Arial"/>
                <w:sz w:val="18"/>
                <w:szCs w:val="18"/>
                <w:color w:val="auto"/>
              </w:rPr>
              <w:t>Item 6.</w:t>
            </w:r>
          </w:p>
        </w:tc>
        <w:tc>
          <w:tcPr>
            <w:tcW w:w="9120" w:type="dxa"/>
            <w:vAlign w:val="bottom"/>
            <w:gridSpan w:val="16"/>
          </w:tcPr>
          <w:p>
            <w:pPr>
              <w:spacing w:after="0"/>
              <w:rPr>
                <w:sz w:val="20"/>
                <w:szCs w:val="20"/>
                <w:color w:val="auto"/>
              </w:rPr>
            </w:pPr>
            <w:r>
              <w:rPr>
                <w:rFonts w:ascii="Arial" w:cs="Arial" w:eastAsia="Arial" w:hAnsi="Arial"/>
                <w:sz w:val="18"/>
                <w:szCs w:val="18"/>
                <w:color w:val="0000FF"/>
              </w:rPr>
              <w:t>Exhibits</w:t>
            </w:r>
          </w:p>
        </w:tc>
        <w:tc>
          <w:tcPr>
            <w:tcW w:w="940" w:type="dxa"/>
            <w:vAlign w:val="bottom"/>
          </w:tcPr>
          <w:p>
            <w:pPr>
              <w:jc w:val="center"/>
              <w:spacing w:after="0"/>
              <w:rPr>
                <w:sz w:val="20"/>
                <w:szCs w:val="20"/>
                <w:color w:val="auto"/>
              </w:rPr>
            </w:pPr>
            <w:r>
              <w:rPr>
                <w:rFonts w:ascii="Arial" w:cs="Arial" w:eastAsia="Arial" w:hAnsi="Arial"/>
                <w:sz w:val="18"/>
                <w:szCs w:val="18"/>
                <w:color w:val="0000FF"/>
                <w:w w:val="99"/>
              </w:rPr>
              <w:t>24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SIGNATURES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73"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620" w:type="dxa"/>
            <w:vAlign w:val="bottom"/>
          </w:tcPr>
          <w:p>
            <w:pPr>
              <w:ind w:left="4780"/>
              <w:spacing w:after="0"/>
              <w:rPr>
                <w:sz w:val="20"/>
                <w:szCs w:val="20"/>
                <w:color w:val="auto"/>
              </w:rPr>
            </w:pPr>
            <w:r>
              <w:rPr>
                <w:rFonts w:ascii="Arial" w:cs="Arial" w:eastAsia="Arial" w:hAnsi="Arial"/>
                <w:sz w:val="22"/>
                <w:szCs w:val="22"/>
                <w:b w:val="1"/>
                <w:bCs w:val="1"/>
                <w:color w:val="auto"/>
              </w:rPr>
              <w:t>PART I</w:t>
            </w:r>
          </w:p>
        </w:tc>
        <w:tc>
          <w:tcPr>
            <w:tcW w:w="2600" w:type="dxa"/>
            <w:vAlign w:val="bottom"/>
            <w:gridSpan w:val="2"/>
          </w:tcPr>
          <w:p>
            <w:pPr>
              <w:jc w:val="right"/>
              <w:ind w:right="1670"/>
              <w:spacing w:after="0"/>
              <w:rPr>
                <w:sz w:val="20"/>
                <w:szCs w:val="20"/>
                <w:color w:val="auto"/>
              </w:rPr>
            </w:pPr>
            <w:r>
              <w:rPr>
                <w:rFonts w:ascii="Arial" w:cs="Arial" w:eastAsia="Arial" w:hAnsi="Arial"/>
                <w:sz w:val="22"/>
                <w:szCs w:val="22"/>
                <w:b w:val="1"/>
                <w:bCs w:val="1"/>
                <w:color w:val="auto"/>
              </w:rPr>
              <w:t>Item 1.</w:t>
            </w: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220" w:type="dxa"/>
            <w:vAlign w:val="bottom"/>
            <w:gridSpan w:val="3"/>
          </w:tcPr>
          <w:p>
            <w:pPr>
              <w:jc w:val="center"/>
              <w:ind w:left="2948"/>
              <w:spacing w:after="0"/>
              <w:rPr>
                <w:sz w:val="20"/>
                <w:szCs w:val="20"/>
                <w:color w:val="auto"/>
              </w:rPr>
            </w:pPr>
            <w:r>
              <w:rPr>
                <w:rFonts w:ascii="Arial" w:cs="Arial" w:eastAsia="Arial" w:hAnsi="Arial"/>
                <w:sz w:val="22"/>
                <w:szCs w:val="22"/>
                <w:b w:val="1"/>
                <w:bCs w:val="1"/>
                <w:color w:val="auto"/>
                <w:w w:val="98"/>
              </w:rPr>
              <w:t>GRACO INC. AND SUBSIDIARIES</w:t>
            </w: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8220" w:type="dxa"/>
            <w:vAlign w:val="bottom"/>
            <w:gridSpan w:val="3"/>
          </w:tcPr>
          <w:p>
            <w:pPr>
              <w:jc w:val="center"/>
              <w:ind w:left="2928"/>
              <w:spacing w:after="0"/>
              <w:rPr>
                <w:sz w:val="20"/>
                <w:szCs w:val="20"/>
                <w:color w:val="auto"/>
              </w:rPr>
            </w:pPr>
            <w:r>
              <w:rPr>
                <w:rFonts w:ascii="Arial" w:cs="Arial" w:eastAsia="Arial" w:hAnsi="Arial"/>
                <w:sz w:val="22"/>
                <w:szCs w:val="22"/>
                <w:b w:val="1"/>
                <w:bCs w:val="1"/>
                <w:color w:val="auto"/>
                <w:w w:val="97"/>
              </w:rPr>
              <w:t>CONSOLIDATED STATEMENTS OF EARNINGS</w:t>
            </w: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8220" w:type="dxa"/>
            <w:vAlign w:val="bottom"/>
            <w:gridSpan w:val="3"/>
          </w:tcPr>
          <w:p>
            <w:pPr>
              <w:jc w:val="center"/>
              <w:ind w:left="2928"/>
              <w:spacing w:after="0"/>
              <w:rPr>
                <w:sz w:val="20"/>
                <w:szCs w:val="20"/>
                <w:color w:val="auto"/>
              </w:rPr>
            </w:pPr>
            <w:r>
              <w:rPr>
                <w:rFonts w:ascii="Arial" w:cs="Arial" w:eastAsia="Arial" w:hAnsi="Arial"/>
                <w:sz w:val="18"/>
                <w:szCs w:val="18"/>
                <w:color w:val="auto"/>
              </w:rPr>
              <w:t>(Unaudited) (In thousands except per share amounts)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6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177"/>
        </w:trPr>
        <w:tc>
          <w:tcPr>
            <w:tcW w:w="56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jc w:val="center"/>
              <w:ind w:right="360"/>
              <w:spacing w:after="0" w:line="177" w:lineRule="exact"/>
              <w:rPr>
                <w:sz w:val="20"/>
                <w:szCs w:val="20"/>
                <w:color w:val="auto"/>
              </w:rPr>
            </w:pPr>
            <w:r>
              <w:rPr>
                <w:rFonts w:ascii="Arial" w:cs="Arial" w:eastAsia="Arial" w:hAnsi="Arial"/>
                <w:sz w:val="18"/>
                <w:szCs w:val="18"/>
                <w:color w:val="auto"/>
                <w:w w:val="99"/>
              </w:rPr>
              <w:t>March 27,</w:t>
            </w:r>
          </w:p>
        </w:tc>
        <w:tc>
          <w:tcPr>
            <w:tcW w:w="260" w:type="dxa"/>
            <w:vAlign w:val="bottom"/>
          </w:tcPr>
          <w:p>
            <w:pPr>
              <w:spacing w:after="0"/>
              <w:rPr>
                <w:sz w:val="15"/>
                <w:szCs w:val="15"/>
                <w:color w:val="auto"/>
              </w:rPr>
            </w:pPr>
          </w:p>
        </w:tc>
        <w:tc>
          <w:tcPr>
            <w:tcW w:w="1320" w:type="dxa"/>
            <w:vAlign w:val="bottom"/>
          </w:tcPr>
          <w:p>
            <w:pPr>
              <w:jc w:val="center"/>
              <w:ind w:right="150"/>
              <w:spacing w:after="0" w:line="177" w:lineRule="exact"/>
              <w:rPr>
                <w:sz w:val="20"/>
                <w:szCs w:val="20"/>
                <w:color w:val="auto"/>
              </w:rPr>
            </w:pPr>
            <w:r>
              <w:rPr>
                <w:rFonts w:ascii="Arial" w:cs="Arial" w:eastAsia="Arial" w:hAnsi="Arial"/>
                <w:sz w:val="18"/>
                <w:szCs w:val="18"/>
                <w:color w:val="auto"/>
                <w:w w:val="99"/>
              </w:rPr>
              <w:t>March 28,</w:t>
            </w:r>
          </w:p>
        </w:tc>
        <w:tc>
          <w:tcPr>
            <w:tcW w:w="0" w:type="dxa"/>
            <w:vAlign w:val="bottom"/>
          </w:tcPr>
          <w:p>
            <w:pPr>
              <w:spacing w:after="0"/>
              <w:rPr>
                <w:sz w:val="1"/>
                <w:szCs w:val="1"/>
                <w:color w:val="auto"/>
              </w:rPr>
            </w:pPr>
          </w:p>
        </w:tc>
      </w:tr>
      <w:tr>
        <w:trPr>
          <w:trHeight w:val="235"/>
        </w:trPr>
        <w:tc>
          <w:tcPr>
            <w:tcW w:w="5620" w:type="dxa"/>
            <w:vAlign w:val="bottom"/>
            <w:tcBorders>
              <w:bottom w:val="single" w:sz="8" w:color="CCEEFF"/>
            </w:tcBorders>
          </w:tcPr>
          <w:p>
            <w:pPr>
              <w:spacing w:after="0"/>
              <w:rPr>
                <w:sz w:val="20"/>
                <w:szCs w:val="20"/>
                <w:color w:val="auto"/>
              </w:rPr>
            </w:pPr>
          </w:p>
        </w:tc>
        <w:tc>
          <w:tcPr>
            <w:tcW w:w="23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9"/>
              </w:rPr>
              <w:t>2026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9"/>
              </w:rPr>
              <w:t>2025</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23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540,144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528,284</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Cost of products sold</w:t>
            </w:r>
          </w:p>
        </w:tc>
        <w:tc>
          <w:tcPr>
            <w:tcW w:w="23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259,503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250,551</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277,733</w:t>
            </w:r>
          </w:p>
        </w:tc>
        <w:tc>
          <w:tcPr>
            <w:tcW w:w="0" w:type="dxa"/>
            <w:vAlign w:val="bottom"/>
          </w:tcPr>
          <w:p>
            <w:pPr>
              <w:spacing w:after="0"/>
              <w:rPr>
                <w:sz w:val="1"/>
                <w:szCs w:val="1"/>
                <w:color w:val="auto"/>
              </w:rPr>
            </w:pPr>
          </w:p>
        </w:tc>
      </w:tr>
      <w:tr>
        <w:trPr>
          <w:trHeight w:val="230"/>
        </w:trPr>
        <w:tc>
          <w:tcPr>
            <w:tcW w:w="5620" w:type="dxa"/>
            <w:vAlign w:val="bottom"/>
          </w:tcPr>
          <w:p>
            <w:pPr>
              <w:ind w:left="400"/>
              <w:spacing w:after="0"/>
              <w:rPr>
                <w:sz w:val="20"/>
                <w:szCs w:val="20"/>
                <w:color w:val="auto"/>
              </w:rPr>
            </w:pPr>
            <w:r>
              <w:rPr>
                <w:rFonts w:ascii="Arial" w:cs="Arial" w:eastAsia="Arial" w:hAnsi="Arial"/>
                <w:sz w:val="18"/>
                <w:szCs w:val="18"/>
                <w:color w:val="auto"/>
              </w:rPr>
              <w:t>Product development</w:t>
            </w:r>
          </w:p>
        </w:tc>
        <w:tc>
          <w:tcPr>
            <w:tcW w:w="2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19,974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19,375</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Selling, marketing and distribution</w:t>
            </w:r>
          </w:p>
        </w:tc>
        <w:tc>
          <w:tcPr>
            <w:tcW w:w="2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67,211</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General and administrative</w:t>
            </w:r>
          </w:p>
        </w:tc>
        <w:tc>
          <w:tcPr>
            <w:tcW w:w="23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52,873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47,134</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2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144,013</w:t>
            </w:r>
          </w:p>
        </w:tc>
        <w:tc>
          <w:tcPr>
            <w:tcW w:w="0" w:type="dxa"/>
            <w:vAlign w:val="bottom"/>
          </w:tcPr>
          <w:p>
            <w:pPr>
              <w:spacing w:after="0"/>
              <w:rPr>
                <w:sz w:val="1"/>
                <w:szCs w:val="1"/>
                <w:color w:val="auto"/>
              </w:rPr>
            </w:pPr>
          </w:p>
        </w:tc>
      </w:tr>
      <w:tr>
        <w:trPr>
          <w:trHeight w:val="229"/>
        </w:trPr>
        <w:tc>
          <w:tcPr>
            <w:tcW w:w="5620" w:type="dxa"/>
            <w:vAlign w:val="bottom"/>
          </w:tcPr>
          <w:p>
            <w:pPr>
              <w:ind w:left="400"/>
              <w:spacing w:after="0"/>
              <w:rPr>
                <w:sz w:val="20"/>
                <w:szCs w:val="20"/>
                <w:color w:val="auto"/>
              </w:rPr>
            </w:pPr>
            <w:r>
              <w:rPr>
                <w:rFonts w:ascii="Arial" w:cs="Arial" w:eastAsia="Arial" w:hAnsi="Arial"/>
                <w:sz w:val="18"/>
                <w:szCs w:val="18"/>
                <w:color w:val="auto"/>
              </w:rPr>
              <w:t>Interest expense</w:t>
            </w:r>
          </w:p>
        </w:tc>
        <w:tc>
          <w:tcPr>
            <w:tcW w:w="2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(income) expense, net</w:t>
            </w:r>
          </w:p>
        </w:tc>
        <w:tc>
          <w:tcPr>
            <w:tcW w:w="23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(8,174)</w:t>
            </w:r>
          </w:p>
        </w:tc>
        <w:tc>
          <w:tcPr>
            <w:tcW w:w="0" w:type="dxa"/>
            <w:vAlign w:val="bottom"/>
          </w:tcPr>
          <w:p>
            <w:pPr>
              <w:spacing w:after="0"/>
              <w:rPr>
                <w:sz w:val="1"/>
                <w:szCs w:val="1"/>
                <w:color w:val="auto"/>
              </w:rPr>
            </w:pPr>
          </w:p>
        </w:tc>
      </w:tr>
      <w:tr>
        <w:trPr>
          <w:trHeight w:val="223"/>
        </w:trPr>
        <w:tc>
          <w:tcPr>
            <w:tcW w:w="5620" w:type="dxa"/>
            <w:vAlign w:val="bottom"/>
          </w:tcPr>
          <w:p>
            <w:pPr>
              <w:ind w:left="180"/>
              <w:spacing w:after="0"/>
              <w:rPr>
                <w:sz w:val="20"/>
                <w:szCs w:val="20"/>
                <w:color w:val="auto"/>
              </w:rPr>
            </w:pPr>
            <w:r>
              <w:rPr>
                <w:rFonts w:ascii="Arial" w:cs="Arial" w:eastAsia="Arial" w:hAnsi="Arial"/>
                <w:sz w:val="18"/>
                <w:szCs w:val="18"/>
                <w:color w:val="auto"/>
              </w:rPr>
              <w:t>Earnings Before Income Taxes</w:t>
            </w:r>
          </w:p>
        </w:tc>
        <w:tc>
          <w:tcPr>
            <w:tcW w:w="2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140,088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151,474</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w:t>
            </w:r>
          </w:p>
        </w:tc>
        <w:tc>
          <w:tcPr>
            <w:tcW w:w="23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27,373</w:t>
            </w:r>
          </w:p>
        </w:tc>
        <w:tc>
          <w:tcPr>
            <w:tcW w:w="0" w:type="dxa"/>
            <w:vAlign w:val="bottom"/>
          </w:tcPr>
          <w:p>
            <w:pPr>
              <w:spacing w:after="0"/>
              <w:rPr>
                <w:sz w:val="1"/>
                <w:szCs w:val="1"/>
                <w:color w:val="auto"/>
              </w:rPr>
            </w:pPr>
          </w:p>
        </w:tc>
      </w:tr>
      <w:tr>
        <w:trPr>
          <w:trHeight w:val="223"/>
        </w:trPr>
        <w:tc>
          <w:tcPr>
            <w:tcW w:w="562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23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118,506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124,101</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Earnings per Common Share</w:t>
            </w:r>
          </w:p>
        </w:tc>
        <w:tc>
          <w:tcPr>
            <w:tcW w:w="2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20"/>
              <w:spacing w:after="0"/>
              <w:rPr>
                <w:sz w:val="20"/>
                <w:szCs w:val="20"/>
                <w:color w:val="auto"/>
              </w:rPr>
            </w:pPr>
            <w:r>
              <w:rPr>
                <w:rFonts w:ascii="Arial" w:cs="Arial" w:eastAsia="Arial" w:hAnsi="Arial"/>
                <w:sz w:val="18"/>
                <w:szCs w:val="18"/>
                <w:color w:val="auto"/>
              </w:rPr>
              <w:t>Basic</w:t>
            </w:r>
          </w:p>
        </w:tc>
        <w:tc>
          <w:tcPr>
            <w:tcW w:w="26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6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328"/>
        </w:trPr>
        <w:tc>
          <w:tcPr>
            <w:tcW w:w="8220" w:type="dxa"/>
            <w:vAlign w:val="bottom"/>
            <w:gridSpan w:val="3"/>
          </w:tcPr>
          <w:p>
            <w:pPr>
              <w:jc w:val="center"/>
              <w:ind w:left="2928"/>
              <w:spacing w:after="0"/>
              <w:rPr>
                <w:sz w:val="20"/>
                <w:szCs w:val="20"/>
                <w:color w:val="auto"/>
              </w:rPr>
            </w:pPr>
            <w:r>
              <w:rPr>
                <w:rFonts w:ascii="Arial" w:cs="Arial" w:eastAsia="Arial" w:hAnsi="Arial"/>
                <w:sz w:val="18"/>
                <w:szCs w:val="18"/>
                <w:color w:val="auto"/>
                <w:w w:val="99"/>
              </w:rPr>
              <w:t>See notes to consolidated financial statements.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4"/>
        </w:trPr>
        <w:tc>
          <w:tcPr>
            <w:tcW w:w="9660" w:type="dxa"/>
            <w:vAlign w:val="bottom"/>
            <w:gridSpan w:val="5"/>
          </w:tcPr>
          <w:p>
            <w:pPr>
              <w:jc w:val="center"/>
              <w:ind w:left="1488"/>
              <w:spacing w:after="0"/>
              <w:rPr>
                <w:sz w:val="20"/>
                <w:szCs w:val="20"/>
                <w:color w:val="auto"/>
              </w:rPr>
            </w:pPr>
            <w:r>
              <w:rPr>
                <w:rFonts w:ascii="Arial" w:cs="Arial" w:eastAsia="Arial" w:hAnsi="Arial"/>
                <w:sz w:val="22"/>
                <w:szCs w:val="22"/>
                <w:b w:val="1"/>
                <w:bCs w:val="1"/>
                <w:color w:val="auto"/>
                <w:w w:val="97"/>
              </w:rPr>
              <w:t>CONSOLIDATED STATEMENTS OF COMPREHENSIVE INCOME</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8220" w:type="dxa"/>
            <w:vAlign w:val="bottom"/>
            <w:gridSpan w:val="3"/>
          </w:tcPr>
          <w:p>
            <w:pPr>
              <w:jc w:val="center"/>
              <w:ind w:left="2948"/>
              <w:spacing w:after="0"/>
              <w:rPr>
                <w:sz w:val="20"/>
                <w:szCs w:val="20"/>
                <w:color w:val="auto"/>
              </w:rPr>
            </w:pPr>
            <w:r>
              <w:rPr>
                <w:rFonts w:ascii="Arial" w:cs="Arial" w:eastAsia="Arial" w:hAnsi="Arial"/>
                <w:sz w:val="18"/>
                <w:szCs w:val="18"/>
                <w:color w:val="auto"/>
                <w:w w:val="99"/>
              </w:rPr>
              <w:t>(Unaudited) (In thousands)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5"/>
        </w:trPr>
        <w:tc>
          <w:tcPr>
            <w:tcW w:w="56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169"/>
        </w:trPr>
        <w:tc>
          <w:tcPr>
            <w:tcW w:w="56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360"/>
              <w:spacing w:after="0" w:line="169" w:lineRule="exact"/>
              <w:rPr>
                <w:sz w:val="20"/>
                <w:szCs w:val="20"/>
                <w:color w:val="auto"/>
              </w:rPr>
            </w:pPr>
            <w:r>
              <w:rPr>
                <w:rFonts w:ascii="Arial" w:cs="Arial" w:eastAsia="Arial" w:hAnsi="Arial"/>
                <w:sz w:val="18"/>
                <w:szCs w:val="18"/>
                <w:color w:val="auto"/>
                <w:w w:val="99"/>
              </w:rPr>
              <w:t>March 27,</w:t>
            </w:r>
          </w:p>
        </w:tc>
        <w:tc>
          <w:tcPr>
            <w:tcW w:w="260" w:type="dxa"/>
            <w:vAlign w:val="bottom"/>
          </w:tcPr>
          <w:p>
            <w:pPr>
              <w:spacing w:after="0"/>
              <w:rPr>
                <w:sz w:val="14"/>
                <w:szCs w:val="14"/>
                <w:color w:val="auto"/>
              </w:rPr>
            </w:pPr>
          </w:p>
        </w:tc>
        <w:tc>
          <w:tcPr>
            <w:tcW w:w="1320" w:type="dxa"/>
            <w:vAlign w:val="bottom"/>
          </w:tcPr>
          <w:p>
            <w:pPr>
              <w:jc w:val="center"/>
              <w:ind w:right="150"/>
              <w:spacing w:after="0" w:line="169" w:lineRule="exact"/>
              <w:rPr>
                <w:sz w:val="20"/>
                <w:szCs w:val="20"/>
                <w:color w:val="auto"/>
              </w:rPr>
            </w:pPr>
            <w:r>
              <w:rPr>
                <w:rFonts w:ascii="Arial" w:cs="Arial" w:eastAsia="Arial" w:hAnsi="Arial"/>
                <w:sz w:val="18"/>
                <w:szCs w:val="18"/>
                <w:color w:val="auto"/>
                <w:w w:val="99"/>
              </w:rPr>
              <w:t>March 28,</w:t>
            </w:r>
          </w:p>
        </w:tc>
        <w:tc>
          <w:tcPr>
            <w:tcW w:w="0" w:type="dxa"/>
            <w:vAlign w:val="bottom"/>
          </w:tcPr>
          <w:p>
            <w:pPr>
              <w:spacing w:after="0"/>
              <w:rPr>
                <w:sz w:val="1"/>
                <w:szCs w:val="1"/>
                <w:color w:val="auto"/>
              </w:rPr>
            </w:pPr>
          </w:p>
        </w:tc>
      </w:tr>
      <w:tr>
        <w:trPr>
          <w:trHeight w:val="241"/>
        </w:trPr>
        <w:tc>
          <w:tcPr>
            <w:tcW w:w="5620" w:type="dxa"/>
            <w:vAlign w:val="bottom"/>
            <w:tcBorders>
              <w:bottom w:val="single" w:sz="8" w:color="CCEEFF"/>
            </w:tcBorders>
          </w:tcPr>
          <w:p>
            <w:pPr>
              <w:spacing w:after="0"/>
              <w:rPr>
                <w:sz w:val="20"/>
                <w:szCs w:val="20"/>
                <w:color w:val="auto"/>
              </w:rPr>
            </w:pPr>
          </w:p>
        </w:tc>
        <w:tc>
          <w:tcPr>
            <w:tcW w:w="23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9"/>
              </w:rPr>
              <w:t>2026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9"/>
              </w:rPr>
              <w:t>2025</w:t>
            </w:r>
          </w:p>
        </w:tc>
        <w:tc>
          <w:tcPr>
            <w:tcW w:w="0" w:type="dxa"/>
            <w:vAlign w:val="bottom"/>
          </w:tcPr>
          <w:p>
            <w:pPr>
              <w:spacing w:after="0"/>
              <w:rPr>
                <w:sz w:val="1"/>
                <w:szCs w:val="1"/>
                <w:color w:val="auto"/>
              </w:rPr>
            </w:pPr>
          </w:p>
        </w:tc>
      </w:tr>
      <w:tr>
        <w:trPr>
          <w:trHeight w:val="225"/>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23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124,101</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Components of other comprehensive (loss) income</w:t>
            </w:r>
          </w:p>
        </w:tc>
        <w:tc>
          <w:tcPr>
            <w:tcW w:w="2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Cumulative translation adjustment</w:t>
            </w:r>
          </w:p>
        </w:tc>
        <w:tc>
          <w:tcPr>
            <w:tcW w:w="2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19,903</w:t>
            </w:r>
          </w:p>
        </w:tc>
        <w:tc>
          <w:tcPr>
            <w:tcW w:w="0" w:type="dxa"/>
            <w:vAlign w:val="bottom"/>
          </w:tcPr>
          <w:p>
            <w:pPr>
              <w:spacing w:after="0"/>
              <w:rPr>
                <w:sz w:val="1"/>
                <w:szCs w:val="1"/>
                <w:color w:val="auto"/>
              </w:rPr>
            </w:pPr>
          </w:p>
        </w:tc>
      </w:tr>
      <w:tr>
        <w:trPr>
          <w:trHeight w:val="175"/>
        </w:trPr>
        <w:tc>
          <w:tcPr>
            <w:tcW w:w="5620" w:type="dxa"/>
            <w:vAlign w:val="bottom"/>
          </w:tcPr>
          <w:p>
            <w:pPr>
              <w:ind w:left="220"/>
              <w:spacing w:after="0" w:line="176" w:lineRule="exact"/>
              <w:rPr>
                <w:sz w:val="20"/>
                <w:szCs w:val="20"/>
                <w:color w:val="auto"/>
              </w:rPr>
            </w:pPr>
            <w:r>
              <w:rPr>
                <w:rFonts w:ascii="Arial" w:cs="Arial" w:eastAsia="Arial" w:hAnsi="Arial"/>
                <w:sz w:val="18"/>
                <w:szCs w:val="18"/>
                <w:color w:val="auto"/>
              </w:rPr>
              <w:t>Pension and postretirement medical</w:t>
            </w:r>
          </w:p>
        </w:tc>
        <w:tc>
          <w:tcPr>
            <w:tcW w:w="2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5620" w:type="dxa"/>
            <w:vAlign w:val="bottom"/>
          </w:tcPr>
          <w:p>
            <w:pPr>
              <w:ind w:left="220"/>
              <w:spacing w:after="0"/>
              <w:rPr>
                <w:sz w:val="20"/>
                <w:szCs w:val="20"/>
                <w:color w:val="auto"/>
              </w:rPr>
            </w:pPr>
            <w:r>
              <w:rPr>
                <w:rFonts w:ascii="Arial" w:cs="Arial" w:eastAsia="Arial" w:hAnsi="Arial"/>
                <w:sz w:val="18"/>
                <w:szCs w:val="18"/>
                <w:color w:val="auto"/>
              </w:rPr>
              <w:t>liability adjustment</w:t>
            </w:r>
          </w:p>
        </w:tc>
        <w:tc>
          <w:tcPr>
            <w:tcW w:w="2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6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Income taxes - pension and postretirement</w:t>
            </w:r>
          </w:p>
        </w:tc>
        <w:tc>
          <w:tcPr>
            <w:tcW w:w="2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medical liability adjustment</w:t>
            </w:r>
          </w:p>
        </w:tc>
        <w:tc>
          <w:tcPr>
            <w:tcW w:w="23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Other comprehensive (loss) income</w:t>
            </w:r>
          </w:p>
        </w:tc>
        <w:tc>
          <w:tcPr>
            <w:tcW w:w="23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19,966</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w:t>
            </w:r>
          </w:p>
        </w:tc>
        <w:tc>
          <w:tcPr>
            <w:tcW w:w="2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144,067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GRACO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BALANCE SHEETS</w:t>
      </w:r>
    </w:p>
    <w:p>
      <w:pPr>
        <w:jc w:val="center"/>
        <w:spacing w:after="0"/>
        <w:rPr>
          <w:sz w:val="20"/>
          <w:szCs w:val="20"/>
          <w:color w:val="auto"/>
        </w:rPr>
      </w:pPr>
      <w:r>
        <w:rPr>
          <w:rFonts w:ascii="Arial" w:cs="Arial" w:eastAsia="Arial" w:hAnsi="Arial"/>
          <w:sz w:val="18"/>
          <w:szCs w:val="18"/>
          <w:color w:val="auto"/>
        </w:rPr>
        <w:t>(Unaudited)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rPr>
              <w:t>March 27,</w:t>
            </w:r>
          </w:p>
        </w:tc>
        <w:tc>
          <w:tcPr>
            <w:tcW w:w="180" w:type="dxa"/>
            <w:vAlign w:val="bottom"/>
          </w:tcPr>
          <w:p>
            <w:pPr>
              <w:spacing w:after="0"/>
              <w:rPr>
                <w:sz w:val="17"/>
                <w:szCs w:val="17"/>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December 26,</w:t>
            </w:r>
          </w:p>
        </w:tc>
      </w:tr>
      <w:tr>
        <w:trPr>
          <w:trHeight w:val="241"/>
        </w:trPr>
        <w:tc>
          <w:tcPr>
            <w:tcW w:w="7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2025</w:t>
            </w:r>
          </w:p>
        </w:tc>
      </w:tr>
      <w:tr>
        <w:trPr>
          <w:trHeight w:val="212"/>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7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712,171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624,083</w:t>
            </w:r>
          </w:p>
        </w:tc>
      </w:tr>
      <w:tr>
        <w:trPr>
          <w:trHeight w:val="229"/>
        </w:trPr>
        <w:tc>
          <w:tcPr>
            <w:tcW w:w="7980" w:type="dxa"/>
            <w:vAlign w:val="bottom"/>
          </w:tcPr>
          <w:p>
            <w:pPr>
              <w:ind w:left="300"/>
              <w:spacing w:after="0"/>
              <w:rPr>
                <w:sz w:val="20"/>
                <w:szCs w:val="20"/>
                <w:color w:val="auto"/>
              </w:rPr>
            </w:pPr>
            <w:r>
              <w:rPr>
                <w:rFonts w:ascii="Arial" w:cs="Arial" w:eastAsia="Arial" w:hAnsi="Arial"/>
                <w:sz w:val="18"/>
                <w:szCs w:val="18"/>
                <w:color w:val="auto"/>
              </w:rPr>
              <w:t>Accounts receivable, less allowances of $6,500 and $6,000</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390,367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393,753</w:t>
            </w:r>
          </w:p>
        </w:tc>
      </w:tr>
      <w:tr>
        <w:trPr>
          <w:trHeight w:val="230"/>
        </w:trPr>
        <w:tc>
          <w:tcPr>
            <w:tcW w:w="7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401,138</w:t>
            </w:r>
          </w:p>
        </w:tc>
      </w:tr>
      <w:tr>
        <w:trPr>
          <w:trHeight w:val="229"/>
        </w:trPr>
        <w:tc>
          <w:tcPr>
            <w:tcW w:w="79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56,380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52,907</w:t>
            </w:r>
          </w:p>
        </w:tc>
      </w:tr>
      <w:tr>
        <w:trPr>
          <w:trHeight w:val="223"/>
        </w:trPr>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1,566,565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1,471,881</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745,561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755,064</w:t>
            </w: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580,958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585,304</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Other Intangible Assets, net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292,636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303,851</w:t>
            </w: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Assets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26,073</w:t>
            </w: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29,001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35,975</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96,122</w:t>
            </w:r>
          </w:p>
        </w:tc>
      </w:tr>
      <w:tr>
        <w:trPr>
          <w:trHeight w:val="223"/>
        </w:trPr>
        <w:tc>
          <w:tcPr>
            <w:tcW w:w="798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3,334,768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3,274,270</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7"/>
        </w:trPr>
        <w:tc>
          <w:tcPr>
            <w:tcW w:w="7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7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Notes payable to banks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23,072</w:t>
            </w:r>
          </w:p>
        </w:tc>
      </w:tr>
      <w:tr>
        <w:trPr>
          <w:trHeight w:val="229"/>
        </w:trPr>
        <w:tc>
          <w:tcPr>
            <w:tcW w:w="7980" w:type="dxa"/>
            <w:vAlign w:val="bottom"/>
          </w:tcPr>
          <w:p>
            <w:pPr>
              <w:ind w:left="30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1,624</w:t>
            </w:r>
          </w:p>
        </w:tc>
      </w:tr>
      <w:tr>
        <w:trPr>
          <w:trHeight w:val="230"/>
        </w:trPr>
        <w:tc>
          <w:tcPr>
            <w:tcW w:w="7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Trade accounts payable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78,573</w:t>
            </w:r>
          </w:p>
        </w:tc>
      </w:tr>
      <w:tr>
        <w:trPr>
          <w:trHeight w:val="229"/>
        </w:trPr>
        <w:tc>
          <w:tcPr>
            <w:tcW w:w="7980" w:type="dxa"/>
            <w:vAlign w:val="bottom"/>
          </w:tcPr>
          <w:p>
            <w:pPr>
              <w:ind w:left="300"/>
              <w:spacing w:after="0"/>
              <w:rPr>
                <w:sz w:val="20"/>
                <w:szCs w:val="20"/>
                <w:color w:val="auto"/>
              </w:rPr>
            </w:pPr>
            <w:r>
              <w:rPr>
                <w:rFonts w:ascii="Arial" w:cs="Arial" w:eastAsia="Arial" w:hAnsi="Arial"/>
                <w:sz w:val="18"/>
                <w:szCs w:val="18"/>
                <w:color w:val="auto"/>
              </w:rPr>
              <w:t>Salaries and incentives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52,589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73,420</w:t>
            </w:r>
          </w:p>
        </w:tc>
      </w:tr>
      <w:tr>
        <w:trPr>
          <w:trHeight w:val="230"/>
        </w:trPr>
        <w:tc>
          <w:tcPr>
            <w:tcW w:w="7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Dividends payable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48,705</w:t>
            </w:r>
          </w:p>
        </w:tc>
      </w:tr>
      <w:tr>
        <w:trPr>
          <w:trHeight w:val="229"/>
        </w:trPr>
        <w:tc>
          <w:tcPr>
            <w:tcW w:w="79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226,994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241,867</w:t>
            </w:r>
          </w:p>
        </w:tc>
      </w:tr>
      <w:tr>
        <w:trPr>
          <w:trHeight w:val="223"/>
        </w:trPr>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440,583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467,261</w:t>
            </w: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Retirement Benefits and Deferred Compensation</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86,046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87,179</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18,131</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37,481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36,708</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11,060</w:t>
            </w: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7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Common stock</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165,150</w:t>
            </w:r>
          </w:p>
        </w:tc>
      </w:tr>
      <w:tr>
        <w:trPr>
          <w:trHeight w:val="230"/>
        </w:trPr>
        <w:tc>
          <w:tcPr>
            <w:tcW w:w="7980" w:type="dxa"/>
            <w:vAlign w:val="bottom"/>
          </w:tcPr>
          <w:p>
            <w:pPr>
              <w:ind w:left="300"/>
              <w:spacing w:after="0"/>
              <w:rPr>
                <w:sz w:val="20"/>
                <w:szCs w:val="20"/>
                <w:color w:val="auto"/>
              </w:rPr>
            </w:pPr>
            <w:r>
              <w:rPr>
                <w:rFonts w:ascii="Arial" w:cs="Arial" w:eastAsia="Arial" w:hAnsi="Arial"/>
                <w:sz w:val="18"/>
                <w:szCs w:val="18"/>
                <w:color w:val="auto"/>
              </w:rPr>
              <w:t>Additional paid-in-capital</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1,039,336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994,566</w:t>
            </w:r>
          </w:p>
        </w:tc>
      </w:tr>
      <w:tr>
        <w:trPr>
          <w:trHeight w:val="230"/>
        </w:trPr>
        <w:tc>
          <w:tcPr>
            <w:tcW w:w="7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1,511,649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1,456,710</w:t>
            </w:r>
          </w:p>
        </w:tc>
      </w:tr>
      <w:tr>
        <w:trPr>
          <w:trHeight w:val="229"/>
        </w:trPr>
        <w:tc>
          <w:tcPr>
            <w:tcW w:w="79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37,505</w:t>
            </w:r>
          </w:p>
        </w:tc>
      </w:tr>
      <w:tr>
        <w:trPr>
          <w:trHeight w:val="223"/>
        </w:trPr>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2,742,398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2,653,931</w:t>
            </w:r>
          </w:p>
        </w:tc>
      </w:tr>
      <w:tr>
        <w:trPr>
          <w:trHeight w:val="223"/>
        </w:trPr>
        <w:tc>
          <w:tcPr>
            <w:tcW w:w="7980" w:type="dxa"/>
            <w:vAlign w:val="bottom"/>
          </w:tcPr>
          <w:p>
            <w:pPr>
              <w:ind w:left="40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3,334,768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3,274,270</w:t>
            </w:r>
          </w:p>
        </w:tc>
      </w:tr>
      <w:tr>
        <w:trPr>
          <w:trHeight w:val="20"/>
        </w:trPr>
        <w:tc>
          <w:tcPr>
            <w:tcW w:w="7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GRACO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CASH FLOWS</w:t>
      </w:r>
    </w:p>
    <w:p>
      <w:pPr>
        <w:jc w:val="center"/>
        <w:spacing w:after="0"/>
        <w:rPr>
          <w:sz w:val="20"/>
          <w:szCs w:val="20"/>
          <w:color w:val="auto"/>
        </w:rPr>
      </w:pPr>
      <w:r>
        <w:rPr>
          <w:rFonts w:ascii="Arial" w:cs="Arial" w:eastAsia="Arial" w:hAnsi="Arial"/>
          <w:sz w:val="18"/>
          <w:szCs w:val="18"/>
          <w:color w:val="auto"/>
        </w:rPr>
        <w:t>(Unaudited)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color w:val="auto"/>
              </w:rPr>
              <w:t>Three Months Ended</w:t>
            </w:r>
          </w:p>
        </w:tc>
      </w:tr>
      <w:tr>
        <w:trPr>
          <w:trHeight w:val="169"/>
        </w:trPr>
        <w:tc>
          <w:tcPr>
            <w:tcW w:w="7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ind w:left="140"/>
              <w:spacing w:after="0" w:line="169" w:lineRule="exact"/>
              <w:rPr>
                <w:sz w:val="20"/>
                <w:szCs w:val="20"/>
                <w:color w:val="auto"/>
              </w:rPr>
            </w:pPr>
            <w:r>
              <w:rPr>
                <w:rFonts w:ascii="Arial" w:cs="Arial" w:eastAsia="Arial" w:hAnsi="Arial"/>
                <w:sz w:val="18"/>
                <w:szCs w:val="18"/>
                <w:color w:val="auto"/>
              </w:rPr>
              <w:t>March 27,</w:t>
            </w:r>
          </w:p>
        </w:tc>
        <w:tc>
          <w:tcPr>
            <w:tcW w:w="260" w:type="dxa"/>
            <w:vAlign w:val="bottom"/>
          </w:tcPr>
          <w:p>
            <w:pPr>
              <w:spacing w:after="0"/>
              <w:rPr>
                <w:sz w:val="14"/>
                <w:szCs w:val="14"/>
                <w:color w:val="auto"/>
              </w:rPr>
            </w:pPr>
          </w:p>
        </w:tc>
        <w:tc>
          <w:tcPr>
            <w:tcW w:w="1320" w:type="dxa"/>
            <w:vAlign w:val="bottom"/>
          </w:tcPr>
          <w:p>
            <w:pPr>
              <w:jc w:val="right"/>
              <w:ind w:right="290"/>
              <w:spacing w:after="0" w:line="169" w:lineRule="exact"/>
              <w:rPr>
                <w:sz w:val="20"/>
                <w:szCs w:val="20"/>
                <w:color w:val="auto"/>
              </w:rPr>
            </w:pPr>
            <w:r>
              <w:rPr>
                <w:rFonts w:ascii="Arial" w:cs="Arial" w:eastAsia="Arial" w:hAnsi="Arial"/>
                <w:sz w:val="18"/>
                <w:szCs w:val="18"/>
                <w:color w:val="auto"/>
              </w:rPr>
              <w:t>March 28,</w:t>
            </w:r>
          </w:p>
        </w:tc>
      </w:tr>
      <w:tr>
        <w:trPr>
          <w:trHeight w:val="241"/>
        </w:trPr>
        <w:tc>
          <w:tcPr>
            <w:tcW w:w="7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2025</w:t>
            </w:r>
          </w:p>
        </w:tc>
      </w:tr>
      <w:tr>
        <w:trPr>
          <w:trHeight w:val="212"/>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7980" w:type="dxa"/>
            <w:vAlign w:val="bottom"/>
          </w:tcPr>
          <w:p>
            <w:pPr>
              <w:ind w:left="300"/>
              <w:spacing w:after="0"/>
              <w:rPr>
                <w:sz w:val="20"/>
                <w:szCs w:val="20"/>
                <w:color w:val="auto"/>
              </w:rPr>
            </w:pPr>
            <w:r>
              <w:rPr>
                <w:rFonts w:ascii="Arial" w:cs="Arial" w:eastAsia="Arial" w:hAnsi="Arial"/>
                <w:sz w:val="18"/>
                <w:szCs w:val="18"/>
                <w:color w:val="auto"/>
              </w:rPr>
              <w:t>Net Earnings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118,506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124,101</w:t>
            </w:r>
          </w:p>
        </w:tc>
      </w:tr>
      <w:tr>
        <w:trPr>
          <w:trHeight w:val="176"/>
        </w:trPr>
        <w:tc>
          <w:tcPr>
            <w:tcW w:w="798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Adjustments to reconcile net earnings to net cash</w:t>
            </w: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7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provided by operating activities</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0"/>
        </w:trPr>
        <w:tc>
          <w:tcPr>
            <w:tcW w:w="798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28,602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24,708</w:t>
            </w:r>
          </w:p>
        </w:tc>
      </w:tr>
      <w:tr>
        <w:trPr>
          <w:trHeight w:val="229"/>
        </w:trPr>
        <w:tc>
          <w:tcPr>
            <w:tcW w:w="7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r>
      <w:tr>
        <w:trPr>
          <w:trHeight w:val="229"/>
        </w:trPr>
        <w:tc>
          <w:tcPr>
            <w:tcW w:w="7980" w:type="dxa"/>
            <w:vAlign w:val="bottom"/>
          </w:tcPr>
          <w:p>
            <w:pPr>
              <w:ind w:left="720"/>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7,353</w:t>
            </w:r>
          </w:p>
        </w:tc>
      </w:tr>
      <w:tr>
        <w:trPr>
          <w:trHeight w:val="230"/>
        </w:trPr>
        <w:tc>
          <w:tcPr>
            <w:tcW w:w="7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Gain on sale of building</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(4,737)</w:t>
            </w:r>
          </w:p>
        </w:tc>
      </w:tr>
      <w:tr>
        <w:trPr>
          <w:trHeight w:val="229"/>
        </w:trPr>
        <w:tc>
          <w:tcPr>
            <w:tcW w:w="7980" w:type="dxa"/>
            <w:vAlign w:val="bottom"/>
          </w:tcPr>
          <w:p>
            <w:pPr>
              <w:ind w:left="720"/>
              <w:spacing w:after="0"/>
              <w:rPr>
                <w:sz w:val="20"/>
                <w:szCs w:val="20"/>
                <w:color w:val="auto"/>
              </w:rPr>
            </w:pPr>
            <w:r>
              <w:rPr>
                <w:rFonts w:ascii="Arial" w:cs="Arial" w:eastAsia="Arial" w:hAnsi="Arial"/>
                <w:sz w:val="18"/>
                <w:szCs w:val="18"/>
                <w:color w:val="auto"/>
              </w:rPr>
              <w:t>Change in</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9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w:t>
            </w:r>
          </w:p>
        </w:tc>
      </w:tr>
      <w:tr>
        <w:trPr>
          <w:trHeight w:val="230"/>
        </w:trPr>
        <w:tc>
          <w:tcPr>
            <w:tcW w:w="7980" w:type="dxa"/>
            <w:vAlign w:val="bottom"/>
          </w:tcPr>
          <w:p>
            <w:pPr>
              <w:ind w:left="84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(2,789)</w:t>
            </w:r>
          </w:p>
        </w:tc>
      </w:tr>
      <w:tr>
        <w:trPr>
          <w:trHeight w:val="229"/>
        </w:trPr>
        <w:tc>
          <w:tcPr>
            <w:tcW w:w="79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Trade accounts payable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17,673</w:t>
            </w:r>
          </w:p>
        </w:tc>
      </w:tr>
      <w:tr>
        <w:trPr>
          <w:trHeight w:val="230"/>
        </w:trPr>
        <w:tc>
          <w:tcPr>
            <w:tcW w:w="7980" w:type="dxa"/>
            <w:vAlign w:val="bottom"/>
          </w:tcPr>
          <w:p>
            <w:pPr>
              <w:ind w:left="840"/>
              <w:spacing w:after="0"/>
              <w:rPr>
                <w:sz w:val="20"/>
                <w:szCs w:val="20"/>
                <w:color w:val="auto"/>
              </w:rPr>
            </w:pPr>
            <w:r>
              <w:rPr>
                <w:rFonts w:ascii="Arial" w:cs="Arial" w:eastAsia="Arial" w:hAnsi="Arial"/>
                <w:sz w:val="18"/>
                <w:szCs w:val="18"/>
                <w:color w:val="auto"/>
              </w:rPr>
              <w:t>Salaries and incentives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(21,086)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(7,997)</w:t>
            </w:r>
          </w:p>
        </w:tc>
      </w:tr>
      <w:tr>
        <w:trPr>
          <w:trHeight w:val="229"/>
        </w:trPr>
        <w:tc>
          <w:tcPr>
            <w:tcW w:w="79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Retirement benefits and deferred compensation</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r>
      <w:tr>
        <w:trPr>
          <w:trHeight w:val="229"/>
        </w:trPr>
        <w:tc>
          <w:tcPr>
            <w:tcW w:w="7980" w:type="dxa"/>
            <w:vAlign w:val="bottom"/>
          </w:tcPr>
          <w:p>
            <w:pPr>
              <w:ind w:left="840"/>
              <w:spacing w:after="0"/>
              <w:rPr>
                <w:sz w:val="20"/>
                <w:szCs w:val="20"/>
                <w:color w:val="auto"/>
              </w:rPr>
            </w:pPr>
            <w:r>
              <w:rPr>
                <w:rFonts w:ascii="Arial" w:cs="Arial" w:eastAsia="Arial" w:hAnsi="Arial"/>
                <w:sz w:val="18"/>
                <w:szCs w:val="18"/>
                <w:color w:val="auto"/>
              </w:rPr>
              <w:t>Other accrued liabilities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(23,243)</w:t>
            </w:r>
          </w:p>
        </w:tc>
      </w:tr>
      <w:tr>
        <w:trPr>
          <w:trHeight w:val="230"/>
        </w:trPr>
        <w:tc>
          <w:tcPr>
            <w:tcW w:w="79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(5,947)</w:t>
            </w:r>
          </w:p>
        </w:tc>
      </w:tr>
      <w:tr>
        <w:trPr>
          <w:trHeight w:val="223"/>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125,416</w:t>
            </w:r>
          </w:p>
        </w:tc>
      </w:tr>
      <w:tr>
        <w:trPr>
          <w:trHeight w:val="210"/>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7980" w:type="dxa"/>
            <w:vAlign w:val="bottom"/>
          </w:tcPr>
          <w:p>
            <w:pPr>
              <w:ind w:left="300"/>
              <w:spacing w:after="0"/>
              <w:rPr>
                <w:sz w:val="20"/>
                <w:szCs w:val="20"/>
                <w:color w:val="auto"/>
              </w:rPr>
            </w:pPr>
            <w:r>
              <w:rPr>
                <w:rFonts w:ascii="Arial" w:cs="Arial" w:eastAsia="Arial" w:hAnsi="Arial"/>
                <w:sz w:val="18"/>
                <w:szCs w:val="18"/>
                <w:color w:val="auto"/>
              </w:rPr>
              <w:t>Property, plant and equipment additions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(12,141)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(10,597)</w:t>
            </w:r>
          </w:p>
        </w:tc>
      </w:tr>
      <w:tr>
        <w:trPr>
          <w:trHeight w:val="230"/>
        </w:trPr>
        <w:tc>
          <w:tcPr>
            <w:tcW w:w="7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Proceeds from sale of building</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10,749</w:t>
            </w:r>
          </w:p>
        </w:tc>
      </w:tr>
      <w:tr>
        <w:trPr>
          <w:trHeight w:val="230"/>
        </w:trPr>
        <w:tc>
          <w:tcPr>
            <w:tcW w:w="7980" w:type="dxa"/>
            <w:vAlign w:val="bottom"/>
          </w:tcPr>
          <w:p>
            <w:pPr>
              <w:ind w:left="300"/>
              <w:spacing w:after="0"/>
              <w:rPr>
                <w:sz w:val="20"/>
                <w:szCs w:val="20"/>
                <w:color w:val="auto"/>
              </w:rPr>
            </w:pPr>
            <w:r>
              <w:rPr>
                <w:rFonts w:ascii="Arial" w:cs="Arial" w:eastAsia="Arial" w:hAnsi="Arial"/>
                <w:sz w:val="18"/>
                <w:szCs w:val="18"/>
                <w:color w:val="auto"/>
              </w:rPr>
              <w:t>Acquisition of businesses, net of cash acquired</w:t>
            </w:r>
          </w:p>
        </w:tc>
        <w:tc>
          <w:tcPr>
            <w:tcW w:w="2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(10,454)</w:t>
            </w:r>
          </w:p>
        </w:tc>
      </w:tr>
      <w:tr>
        <w:trPr>
          <w:trHeight w:val="229"/>
        </w:trPr>
        <w:tc>
          <w:tcPr>
            <w:tcW w:w="7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23"/>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(10,486)</w:t>
            </w:r>
          </w:p>
        </w:tc>
      </w:tr>
      <w:tr>
        <w:trPr>
          <w:trHeight w:val="210"/>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7980" w:type="dxa"/>
            <w:vAlign w:val="bottom"/>
          </w:tcPr>
          <w:p>
            <w:pPr>
              <w:ind w:left="300"/>
              <w:spacing w:after="0"/>
              <w:rPr>
                <w:sz w:val="20"/>
                <w:szCs w:val="20"/>
                <w:color w:val="auto"/>
              </w:rPr>
            </w:pPr>
            <w:r>
              <w:rPr>
                <w:rFonts w:ascii="Arial" w:cs="Arial" w:eastAsia="Arial" w:hAnsi="Arial"/>
                <w:sz w:val="18"/>
                <w:szCs w:val="18"/>
                <w:color w:val="auto"/>
              </w:rPr>
              <w:t>Borrowings (payments) on short-term lines of credit, net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(1,075)</w:t>
            </w:r>
          </w:p>
        </w:tc>
      </w:tr>
      <w:tr>
        <w:trPr>
          <w:trHeight w:val="230"/>
        </w:trPr>
        <w:tc>
          <w:tcPr>
            <w:tcW w:w="7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Payments on long-term debt and lines of credit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Pr>
          <w:p>
            <w:pPr>
              <w:ind w:left="300"/>
              <w:spacing w:after="0"/>
              <w:rPr>
                <w:sz w:val="20"/>
                <w:szCs w:val="20"/>
                <w:color w:val="auto"/>
              </w:rPr>
            </w:pPr>
            <w:r>
              <w:rPr>
                <w:rFonts w:ascii="Arial" w:cs="Arial" w:eastAsia="Arial" w:hAnsi="Arial"/>
                <w:sz w:val="18"/>
                <w:szCs w:val="18"/>
                <w:color w:val="auto"/>
              </w:rPr>
              <w:t>Common stock issued</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47,350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31,574</w:t>
            </w:r>
          </w:p>
        </w:tc>
      </w:tr>
      <w:tr>
        <w:trPr>
          <w:trHeight w:val="229"/>
        </w:trPr>
        <w:tc>
          <w:tcPr>
            <w:tcW w:w="7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Common stock repurchased</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(238,089)</w:t>
            </w:r>
          </w:p>
        </w:tc>
      </w:tr>
      <w:tr>
        <w:trPr>
          <w:trHeight w:val="230"/>
        </w:trPr>
        <w:tc>
          <w:tcPr>
            <w:tcW w:w="7980" w:type="dxa"/>
            <w:vAlign w:val="bottom"/>
          </w:tcPr>
          <w:p>
            <w:pPr>
              <w:ind w:left="300"/>
              <w:spacing w:after="0"/>
              <w:rPr>
                <w:sz w:val="20"/>
                <w:szCs w:val="20"/>
                <w:color w:val="auto"/>
              </w:rPr>
            </w:pPr>
            <w:r>
              <w:rPr>
                <w:rFonts w:ascii="Arial" w:cs="Arial" w:eastAsia="Arial" w:hAnsi="Arial"/>
                <w:sz w:val="18"/>
                <w:szCs w:val="18"/>
                <w:color w:val="auto"/>
              </w:rPr>
              <w:t>Taxes paid related to net share settlement of equity awards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(3,907)</w:t>
            </w:r>
          </w:p>
        </w:tc>
      </w:tr>
      <w:tr>
        <w:trPr>
          <w:trHeight w:val="230"/>
        </w:trPr>
        <w:tc>
          <w:tcPr>
            <w:tcW w:w="7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Cash dividends paid</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(48,767)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(46,586)</w:t>
            </w:r>
          </w:p>
        </w:tc>
      </w:tr>
      <w:tr>
        <w:trPr>
          <w:trHeight w:val="223"/>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(258,083)</w:t>
            </w:r>
          </w:p>
        </w:tc>
      </w:tr>
      <w:tr>
        <w:trPr>
          <w:trHeight w:val="223"/>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w:t>
            </w:r>
          </w:p>
        </w:tc>
      </w:tr>
      <w:tr>
        <w:trPr>
          <w:trHeight w:val="223"/>
        </w:trPr>
        <w:tc>
          <w:tcPr>
            <w:tcW w:w="7980" w:type="dxa"/>
            <w:vAlign w:val="bottom"/>
          </w:tcPr>
          <w:p>
            <w:pPr>
              <w:ind w:left="18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88,088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(139,198)</w:t>
            </w:r>
          </w:p>
        </w:tc>
      </w:tr>
      <w:tr>
        <w:trPr>
          <w:trHeight w:val="230"/>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Cash and Cash Equivalents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79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Beginning of year</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624,083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675,336</w:t>
            </w:r>
          </w:p>
        </w:tc>
      </w:tr>
      <w:tr>
        <w:trPr>
          <w:trHeight w:val="248"/>
        </w:trPr>
        <w:tc>
          <w:tcPr>
            <w:tcW w:w="7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712,171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536,138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GRACO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SHAREHOLDERS’ EQUITY</w:t>
      </w:r>
    </w:p>
    <w:p>
      <w:pPr>
        <w:jc w:val="center"/>
        <w:ind w:right="-19"/>
        <w:spacing w:after="0"/>
        <w:rPr>
          <w:sz w:val="20"/>
          <w:szCs w:val="20"/>
          <w:color w:val="auto"/>
        </w:rPr>
      </w:pPr>
      <w:r>
        <w:rPr>
          <w:rFonts w:ascii="Arial" w:cs="Arial" w:eastAsia="Arial" w:hAnsi="Arial"/>
          <w:sz w:val="18"/>
          <w:szCs w:val="18"/>
          <w:color w:val="auto"/>
        </w:rPr>
        <w:t>(Unaudited) (In thousands)</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6"/>
                <w:szCs w:val="16"/>
                <w:color w:val="auto"/>
              </w:rPr>
              <w:t>Common</w:t>
            </w: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color w:val="auto"/>
              </w:rPr>
              <w:t>Additional</w:t>
            </w:r>
          </w:p>
        </w:tc>
        <w:tc>
          <w:tcPr>
            <w:tcW w:w="220" w:type="dxa"/>
            <w:vAlign w:val="bottom"/>
          </w:tcPr>
          <w:p>
            <w:pPr>
              <w:spacing w:after="0"/>
              <w:rPr>
                <w:sz w:val="16"/>
                <w:szCs w:val="1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6"/>
                <w:szCs w:val="16"/>
                <w:color w:val="auto"/>
              </w:rPr>
              <w:t>Retained</w:t>
            </w:r>
          </w:p>
        </w:tc>
        <w:tc>
          <w:tcPr>
            <w:tcW w:w="1680" w:type="dxa"/>
            <w:vAlign w:val="bottom"/>
            <w:gridSpan w:val="3"/>
          </w:tcPr>
          <w:p>
            <w:pPr>
              <w:jc w:val="center"/>
              <w:ind w:right="100"/>
              <w:spacing w:after="0"/>
              <w:rPr>
                <w:sz w:val="20"/>
                <w:szCs w:val="20"/>
                <w:color w:val="auto"/>
              </w:rPr>
            </w:pPr>
            <w:r>
              <w:rPr>
                <w:rFonts w:ascii="Arial" w:cs="Arial" w:eastAsia="Arial" w:hAnsi="Arial"/>
                <w:sz w:val="16"/>
                <w:szCs w:val="16"/>
                <w:color w:val="auto"/>
              </w:rPr>
              <w:t>Accumulated Other</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20"/>
              <w:spacing w:after="0" w:line="162" w:lineRule="exact"/>
              <w:rPr>
                <w:sz w:val="20"/>
                <w:szCs w:val="20"/>
                <w:color w:val="auto"/>
              </w:rPr>
            </w:pPr>
            <w:r>
              <w:rPr>
                <w:rFonts w:ascii="Arial" w:cs="Arial" w:eastAsia="Arial" w:hAnsi="Arial"/>
                <w:sz w:val="16"/>
                <w:szCs w:val="16"/>
                <w:color w:val="auto"/>
              </w:rPr>
              <w:t>Paid-In</w:t>
            </w:r>
          </w:p>
        </w:tc>
        <w:tc>
          <w:tcPr>
            <w:tcW w:w="2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60"/>
              <w:spacing w:after="0" w:line="162" w:lineRule="exact"/>
              <w:rPr>
                <w:sz w:val="20"/>
                <w:szCs w:val="20"/>
                <w:color w:val="auto"/>
              </w:rPr>
            </w:pPr>
            <w:r>
              <w:rPr>
                <w:rFonts w:ascii="Arial" w:cs="Arial" w:eastAsia="Arial" w:hAnsi="Arial"/>
                <w:sz w:val="16"/>
                <w:szCs w:val="16"/>
                <w:color w:val="auto"/>
              </w:rPr>
              <w:t>Comprehensive</w:t>
            </w:r>
          </w:p>
        </w:tc>
        <w:tc>
          <w:tcPr>
            <w:tcW w:w="300" w:type="dxa"/>
            <w:vAlign w:val="bottom"/>
          </w:tcPr>
          <w:p>
            <w:pPr>
              <w:spacing w:after="0"/>
              <w:rPr>
                <w:sz w:val="14"/>
                <w:szCs w:val="14"/>
                <w:color w:val="auto"/>
              </w:rPr>
            </w:pPr>
          </w:p>
        </w:tc>
        <w:tc>
          <w:tcPr>
            <w:tcW w:w="1000" w:type="dxa"/>
            <w:vAlign w:val="bottom"/>
            <w:vMerge w:val="restart"/>
          </w:tcPr>
          <w:p>
            <w:pPr>
              <w:jc w:val="right"/>
              <w:ind w:right="39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5"/>
        </w:trPr>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color w:val="auto"/>
                <w:w w:val="99"/>
              </w:rPr>
              <w:t>Stock</w:t>
            </w:r>
          </w:p>
        </w:tc>
        <w:tc>
          <w:tcPr>
            <w:tcW w:w="2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color w:val="auto"/>
              </w:rPr>
              <w:t>Capital</w:t>
            </w:r>
          </w:p>
        </w:tc>
        <w:tc>
          <w:tcPr>
            <w:tcW w:w="2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6"/>
                <w:szCs w:val="16"/>
                <w:color w:val="auto"/>
              </w:rPr>
              <w:t>Earnings</w:t>
            </w:r>
          </w:p>
        </w:tc>
        <w:tc>
          <w:tcPr>
            <w:tcW w:w="16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color w:val="auto"/>
              </w:rPr>
              <w:t>(Loss) Income</w:t>
            </w: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980" w:type="dxa"/>
            <w:vAlign w:val="bottom"/>
          </w:tcPr>
          <w:p>
            <w:pPr>
              <w:ind w:left="20"/>
              <w:spacing w:after="0"/>
              <w:rPr>
                <w:sz w:val="20"/>
                <w:szCs w:val="20"/>
                <w:color w:val="auto"/>
              </w:rPr>
            </w:pPr>
            <w:r>
              <w:rPr>
                <w:rFonts w:ascii="Arial" w:cs="Arial" w:eastAsia="Arial" w:hAnsi="Arial"/>
                <w:sz w:val="16"/>
                <w:szCs w:val="16"/>
                <w:b w:val="1"/>
                <w:bCs w:val="1"/>
                <w:color w:val="auto"/>
              </w:rPr>
              <w:t>Three Months Ended March 27, 2026</w:t>
            </w: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Balance, December 26, 2025</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165,150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994,566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1,456,710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2,653,931</w:t>
            </w:r>
          </w:p>
        </w:tc>
        <w:tc>
          <w:tcPr>
            <w:tcW w:w="0" w:type="dxa"/>
            <w:vAlign w:val="bottom"/>
          </w:tcPr>
          <w:p>
            <w:pPr>
              <w:spacing w:after="0"/>
              <w:rPr>
                <w:sz w:val="1"/>
                <w:szCs w:val="1"/>
                <w:color w:val="auto"/>
              </w:rPr>
            </w:pPr>
          </w:p>
        </w:tc>
      </w:tr>
      <w:tr>
        <w:trPr>
          <w:trHeight w:val="215"/>
        </w:trPr>
        <w:tc>
          <w:tcPr>
            <w:tcW w:w="3980" w:type="dxa"/>
            <w:vAlign w:val="bottom"/>
          </w:tcPr>
          <w:p>
            <w:pPr>
              <w:ind w:left="300"/>
              <w:spacing w:after="0"/>
              <w:rPr>
                <w:sz w:val="20"/>
                <w:szCs w:val="20"/>
                <w:color w:val="auto"/>
              </w:rPr>
            </w:pPr>
            <w:r>
              <w:rPr>
                <w:rFonts w:ascii="Arial" w:cs="Arial" w:eastAsia="Arial" w:hAnsi="Arial"/>
                <w:sz w:val="16"/>
                <w:szCs w:val="16"/>
                <w:color w:val="auto"/>
              </w:rPr>
              <w:t>Shares issued</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39,454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40,400</w:t>
            </w:r>
          </w:p>
        </w:tc>
        <w:tc>
          <w:tcPr>
            <w:tcW w:w="0" w:type="dxa"/>
            <w:vAlign w:val="bottom"/>
          </w:tcPr>
          <w:p>
            <w:pPr>
              <w:spacing w:after="0"/>
              <w:rPr>
                <w:sz w:val="1"/>
                <w:szCs w:val="1"/>
                <w:color w:val="auto"/>
              </w:rPr>
            </w:pPr>
          </w:p>
        </w:tc>
      </w:tr>
      <w:tr>
        <w:trPr>
          <w:trHeight w:val="217"/>
        </w:trPr>
        <w:tc>
          <w:tcPr>
            <w:tcW w:w="3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Shares repurchased</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(15,955)</w:t>
            </w:r>
          </w:p>
        </w:tc>
        <w:tc>
          <w:tcPr>
            <w:tcW w:w="0" w:type="dxa"/>
            <w:vAlign w:val="bottom"/>
          </w:tcPr>
          <w:p>
            <w:pPr>
              <w:spacing w:after="0"/>
              <w:rPr>
                <w:sz w:val="1"/>
                <w:szCs w:val="1"/>
                <w:color w:val="auto"/>
              </w:rPr>
            </w:pPr>
          </w:p>
        </w:tc>
      </w:tr>
      <w:tr>
        <w:trPr>
          <w:trHeight w:val="215"/>
        </w:trPr>
        <w:tc>
          <w:tcPr>
            <w:tcW w:w="3980" w:type="dxa"/>
            <w:vAlign w:val="bottom"/>
          </w:tcPr>
          <w:p>
            <w:pPr>
              <w:ind w:left="300"/>
              <w:spacing w:after="0"/>
              <w:rPr>
                <w:sz w:val="20"/>
                <w:szCs w:val="20"/>
                <w:color w:val="auto"/>
              </w:rPr>
            </w:pPr>
            <w:r>
              <w:rPr>
                <w:rFonts w:ascii="Arial" w:cs="Arial" w:eastAsia="Arial" w:hAnsi="Arial"/>
                <w:sz w:val="16"/>
                <w:szCs w:val="16"/>
                <w:color w:val="auto"/>
              </w:rPr>
              <w:t>Stock compensation cost</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6,999</w:t>
            </w:r>
          </w:p>
        </w:tc>
        <w:tc>
          <w:tcPr>
            <w:tcW w:w="0" w:type="dxa"/>
            <w:vAlign w:val="bottom"/>
          </w:tcPr>
          <w:p>
            <w:pPr>
              <w:spacing w:after="0"/>
              <w:rPr>
                <w:sz w:val="1"/>
                <w:szCs w:val="1"/>
                <w:color w:val="auto"/>
              </w:rPr>
            </w:pPr>
          </w:p>
        </w:tc>
      </w:tr>
      <w:tr>
        <w:trPr>
          <w:trHeight w:val="217"/>
        </w:trPr>
        <w:tc>
          <w:tcPr>
            <w:tcW w:w="3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Restricted stock issued</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0" w:type="dxa"/>
            <w:vAlign w:val="bottom"/>
          </w:tcPr>
          <w:p>
            <w:pPr>
              <w:spacing w:after="0"/>
              <w:rPr>
                <w:sz w:val="1"/>
                <w:szCs w:val="1"/>
                <w:color w:val="auto"/>
              </w:rPr>
            </w:pPr>
          </w:p>
        </w:tc>
      </w:tr>
      <w:tr>
        <w:trPr>
          <w:trHeight w:val="215"/>
        </w:trPr>
        <w:tc>
          <w:tcPr>
            <w:tcW w:w="3980" w:type="dxa"/>
            <w:vAlign w:val="bottom"/>
          </w:tcPr>
          <w:p>
            <w:pPr>
              <w:ind w:left="300"/>
              <w:spacing w:after="0"/>
              <w:rPr>
                <w:sz w:val="20"/>
                <w:szCs w:val="20"/>
                <w:color w:val="auto"/>
              </w:rPr>
            </w:pPr>
            <w:r>
              <w:rPr>
                <w:rFonts w:ascii="Arial" w:cs="Arial" w:eastAsia="Arial" w:hAnsi="Arial"/>
                <w:sz w:val="16"/>
                <w:szCs w:val="16"/>
                <w:color w:val="auto"/>
              </w:rPr>
              <w:t>Net earnings</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118,506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118,506</w:t>
            </w:r>
          </w:p>
        </w:tc>
        <w:tc>
          <w:tcPr>
            <w:tcW w:w="0" w:type="dxa"/>
            <w:vAlign w:val="bottom"/>
          </w:tcPr>
          <w:p>
            <w:pPr>
              <w:spacing w:after="0"/>
              <w:rPr>
                <w:sz w:val="1"/>
                <w:szCs w:val="1"/>
                <w:color w:val="auto"/>
              </w:rPr>
            </w:pPr>
          </w:p>
        </w:tc>
      </w:tr>
      <w:tr>
        <w:trPr>
          <w:trHeight w:val="217"/>
        </w:trPr>
        <w:tc>
          <w:tcPr>
            <w:tcW w:w="3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Dividends declared ($0.295 per share)</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(48,942)</w:t>
            </w:r>
          </w:p>
        </w:tc>
        <w:tc>
          <w:tcPr>
            <w:tcW w:w="0" w:type="dxa"/>
            <w:vAlign w:val="bottom"/>
          </w:tcPr>
          <w:p>
            <w:pPr>
              <w:spacing w:after="0"/>
              <w:rPr>
                <w:sz w:val="1"/>
                <w:szCs w:val="1"/>
                <w:color w:val="auto"/>
              </w:rPr>
            </w:pPr>
          </w:p>
        </w:tc>
      </w:tr>
      <w:tr>
        <w:trPr>
          <w:trHeight w:val="215"/>
        </w:trPr>
        <w:tc>
          <w:tcPr>
            <w:tcW w:w="3980" w:type="dxa"/>
            <w:vAlign w:val="bottom"/>
          </w:tcPr>
          <w:p>
            <w:pPr>
              <w:ind w:left="300"/>
              <w:spacing w:after="0"/>
              <w:rPr>
                <w:sz w:val="20"/>
                <w:szCs w:val="20"/>
                <w:color w:val="auto"/>
              </w:rPr>
            </w:pPr>
            <w:r>
              <w:rPr>
                <w:rFonts w:ascii="Arial" w:cs="Arial" w:eastAsia="Arial" w:hAnsi="Arial"/>
                <w:sz w:val="16"/>
                <w:szCs w:val="16"/>
                <w:color w:val="auto"/>
              </w:rPr>
              <w:t>Other comprehensive loss</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(11,999)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(11,999)</w:t>
            </w:r>
          </w:p>
        </w:tc>
        <w:tc>
          <w:tcPr>
            <w:tcW w:w="0" w:type="dxa"/>
            <w:vAlign w:val="bottom"/>
          </w:tcPr>
          <w:p>
            <w:pPr>
              <w:spacing w:after="0"/>
              <w:rPr>
                <w:sz w:val="1"/>
                <w:szCs w:val="1"/>
                <w:color w:val="auto"/>
              </w:rPr>
            </w:pPr>
          </w:p>
        </w:tc>
      </w:tr>
      <w:tr>
        <w:trPr>
          <w:trHeight w:val="235"/>
        </w:trPr>
        <w:tc>
          <w:tcPr>
            <w:tcW w:w="3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Balance, March 27, 2026</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165,907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1,039,336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1,511,649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2,742,398</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Three Months Ended March 28, 2025</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Balance, December 27, 2024</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169,394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955,051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1,509,264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(49,574)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2,584,135</w:t>
            </w:r>
          </w:p>
        </w:tc>
        <w:tc>
          <w:tcPr>
            <w:tcW w:w="0" w:type="dxa"/>
            <w:vAlign w:val="bottom"/>
          </w:tcPr>
          <w:p>
            <w:pPr>
              <w:spacing w:after="0"/>
              <w:rPr>
                <w:sz w:val="1"/>
                <w:szCs w:val="1"/>
                <w:color w:val="auto"/>
              </w:rPr>
            </w:pPr>
          </w:p>
        </w:tc>
      </w:tr>
      <w:tr>
        <w:trPr>
          <w:trHeight w:val="215"/>
        </w:trPr>
        <w:tc>
          <w:tcPr>
            <w:tcW w:w="3980" w:type="dxa"/>
            <w:vAlign w:val="bottom"/>
          </w:tcPr>
          <w:p>
            <w:pPr>
              <w:ind w:left="300"/>
              <w:spacing w:after="0"/>
              <w:rPr>
                <w:sz w:val="20"/>
                <w:szCs w:val="20"/>
                <w:color w:val="auto"/>
              </w:rPr>
            </w:pPr>
            <w:r>
              <w:rPr>
                <w:rFonts w:ascii="Arial" w:cs="Arial" w:eastAsia="Arial" w:hAnsi="Arial"/>
                <w:sz w:val="16"/>
                <w:szCs w:val="16"/>
                <w:color w:val="auto"/>
              </w:rPr>
              <w:t>Shares issued</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27,045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27,667</w:t>
            </w:r>
          </w:p>
        </w:tc>
        <w:tc>
          <w:tcPr>
            <w:tcW w:w="0" w:type="dxa"/>
            <w:vAlign w:val="bottom"/>
          </w:tcPr>
          <w:p>
            <w:pPr>
              <w:spacing w:after="0"/>
              <w:rPr>
                <w:sz w:val="1"/>
                <w:szCs w:val="1"/>
                <w:color w:val="auto"/>
              </w:rPr>
            </w:pPr>
          </w:p>
        </w:tc>
      </w:tr>
      <w:tr>
        <w:trPr>
          <w:trHeight w:val="217"/>
        </w:trPr>
        <w:tc>
          <w:tcPr>
            <w:tcW w:w="3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Shares repurchased</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(219,517)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(238,089)</w:t>
            </w:r>
          </w:p>
        </w:tc>
        <w:tc>
          <w:tcPr>
            <w:tcW w:w="0" w:type="dxa"/>
            <w:vAlign w:val="bottom"/>
          </w:tcPr>
          <w:p>
            <w:pPr>
              <w:spacing w:after="0"/>
              <w:rPr>
                <w:sz w:val="1"/>
                <w:szCs w:val="1"/>
                <w:color w:val="auto"/>
              </w:rPr>
            </w:pPr>
          </w:p>
        </w:tc>
      </w:tr>
      <w:tr>
        <w:trPr>
          <w:trHeight w:val="215"/>
        </w:trPr>
        <w:tc>
          <w:tcPr>
            <w:tcW w:w="3980" w:type="dxa"/>
            <w:vAlign w:val="bottom"/>
          </w:tcPr>
          <w:p>
            <w:pPr>
              <w:ind w:left="300"/>
              <w:spacing w:after="0"/>
              <w:rPr>
                <w:sz w:val="20"/>
                <w:szCs w:val="20"/>
                <w:color w:val="auto"/>
              </w:rPr>
            </w:pPr>
            <w:r>
              <w:rPr>
                <w:rFonts w:ascii="Arial" w:cs="Arial" w:eastAsia="Arial" w:hAnsi="Arial"/>
                <w:sz w:val="16"/>
                <w:szCs w:val="16"/>
                <w:color w:val="auto"/>
              </w:rPr>
              <w:t>Stock compensation cost</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6,333</w:t>
            </w:r>
          </w:p>
        </w:tc>
        <w:tc>
          <w:tcPr>
            <w:tcW w:w="0" w:type="dxa"/>
            <w:vAlign w:val="bottom"/>
          </w:tcPr>
          <w:p>
            <w:pPr>
              <w:spacing w:after="0"/>
              <w:rPr>
                <w:sz w:val="1"/>
                <w:szCs w:val="1"/>
                <w:color w:val="auto"/>
              </w:rPr>
            </w:pPr>
          </w:p>
        </w:tc>
      </w:tr>
      <w:tr>
        <w:trPr>
          <w:trHeight w:val="217"/>
        </w:trPr>
        <w:tc>
          <w:tcPr>
            <w:tcW w:w="3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earnings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124,101</w:t>
            </w:r>
          </w:p>
        </w:tc>
        <w:tc>
          <w:tcPr>
            <w:tcW w:w="0" w:type="dxa"/>
            <w:vAlign w:val="bottom"/>
          </w:tcPr>
          <w:p>
            <w:pPr>
              <w:spacing w:after="0"/>
              <w:rPr>
                <w:sz w:val="1"/>
                <w:szCs w:val="1"/>
                <w:color w:val="auto"/>
              </w:rPr>
            </w:pPr>
          </w:p>
        </w:tc>
      </w:tr>
      <w:tr>
        <w:trPr>
          <w:trHeight w:val="215"/>
        </w:trPr>
        <w:tc>
          <w:tcPr>
            <w:tcW w:w="3980" w:type="dxa"/>
            <w:vAlign w:val="bottom"/>
          </w:tcPr>
          <w:p>
            <w:pPr>
              <w:ind w:left="300"/>
              <w:spacing w:after="0"/>
              <w:rPr>
                <w:sz w:val="20"/>
                <w:szCs w:val="20"/>
                <w:color w:val="auto"/>
              </w:rPr>
            </w:pPr>
            <w:r>
              <w:rPr>
                <w:rFonts w:ascii="Arial" w:cs="Arial" w:eastAsia="Arial" w:hAnsi="Arial"/>
                <w:sz w:val="16"/>
                <w:szCs w:val="16"/>
                <w:color w:val="auto"/>
              </w:rPr>
              <w:t>Dividends declared ($0.275 per share)</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(46,393)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(46,393)</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comprehensive income</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19,966</w:t>
            </w:r>
          </w:p>
        </w:tc>
        <w:tc>
          <w:tcPr>
            <w:tcW w:w="0" w:type="dxa"/>
            <w:vAlign w:val="bottom"/>
          </w:tcPr>
          <w:p>
            <w:pPr>
              <w:spacing w:after="0"/>
              <w:rPr>
                <w:sz w:val="1"/>
                <w:szCs w:val="1"/>
                <w:color w:val="auto"/>
              </w:rPr>
            </w:pPr>
          </w:p>
        </w:tc>
      </w:tr>
      <w:tr>
        <w:trPr>
          <w:trHeight w:val="210"/>
        </w:trPr>
        <w:tc>
          <w:tcPr>
            <w:tcW w:w="3980" w:type="dxa"/>
            <w:vAlign w:val="bottom"/>
          </w:tcPr>
          <w:p>
            <w:pPr>
              <w:ind w:left="180"/>
              <w:spacing w:after="0"/>
              <w:rPr>
                <w:sz w:val="20"/>
                <w:szCs w:val="20"/>
                <w:color w:val="auto"/>
              </w:rPr>
            </w:pPr>
            <w:r>
              <w:rPr>
                <w:rFonts w:ascii="Arial" w:cs="Arial" w:eastAsia="Arial" w:hAnsi="Arial"/>
                <w:sz w:val="16"/>
                <w:szCs w:val="16"/>
                <w:b w:val="1"/>
                <w:bCs w:val="1"/>
                <w:color w:val="auto"/>
              </w:rPr>
              <w:t>Balance, March 28, 2025</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167,218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972,655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1,367,455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(29,608)</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2,477,720</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GRACO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jc w:val="center"/>
        <w:spacing w:after="0"/>
        <w:rPr>
          <w:sz w:val="20"/>
          <w:szCs w:val="20"/>
          <w:color w:val="auto"/>
        </w:rPr>
      </w:pPr>
      <w:r>
        <w:rPr>
          <w:rFonts w:ascii="Arial" w:cs="Arial" w:eastAsia="Arial" w:hAnsi="Arial"/>
          <w:sz w:val="18"/>
          <w:szCs w:val="18"/>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Preparation</w:t>
      </w:r>
    </w:p>
    <w:p>
      <w:pPr>
        <w:spacing w:after="0" w:line="25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consolidated balance sheet of Graco Inc. and subsidiaries (the “Company”) as of March 27, 2026 and the related statements of earnings, comprehensive income and shareholders' equity for the three months ended March 27, 2026 and March 28, 2025, and cash flows for the three months ended March 27, 2026 and March 28, 2025 have been prepared by the Company and have not been audited.</w:t>
      </w:r>
    </w:p>
    <w:p>
      <w:pPr>
        <w:spacing w:after="0" w:line="19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the opinion of management, these consolidated financial statements reflect all adjustments (consisting of only normal recurring adjustments) necessary to present fairly the financial position of the Company as of March 27, 2026, and the results of operations and cash flows for all periods presented.</w:t>
      </w:r>
    </w:p>
    <w:p>
      <w:pPr>
        <w:spacing w:after="0" w:line="198"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generally accepted accounting principles have been condensed or omitted. Therefore, these statements should be read in conjunction with the financial statements and notes thereto included in the Company’s Annual Report on Form 10-K for the year ended December 26, 2025 (the "2025 Annual 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for interim periods are not necessarily indicative of results that will be realized for the full fiscal year.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classifies its business into three reportable segments: Contractor, Industrial and Expansion Markets.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80" w:type="dxa"/>
            <w:vAlign w:val="bottom"/>
          </w:tcPr>
          <w:p>
            <w:pPr>
              <w:spacing w:after="0"/>
              <w:rPr>
                <w:sz w:val="20"/>
                <w:szCs w:val="20"/>
                <w:color w:val="auto"/>
              </w:rPr>
            </w:pPr>
            <w:r>
              <w:rPr>
                <w:rFonts w:ascii="Arial" w:cs="Arial" w:eastAsia="Arial" w:hAnsi="Arial"/>
                <w:sz w:val="18"/>
                <w:szCs w:val="18"/>
                <w:color w:val="auto"/>
              </w:rPr>
              <w:t>Segment information follows (in thousands):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47"/>
        </w:trPr>
        <w:tc>
          <w:tcPr>
            <w:tcW w:w="7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color w:val="auto"/>
              </w:rPr>
              <w:t>Three Months Ended</w:t>
            </w:r>
          </w:p>
        </w:tc>
      </w:tr>
      <w:tr>
        <w:trPr>
          <w:trHeight w:val="169"/>
        </w:trPr>
        <w:tc>
          <w:tcPr>
            <w:tcW w:w="7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ind w:left="140"/>
              <w:spacing w:after="0" w:line="169" w:lineRule="exact"/>
              <w:rPr>
                <w:sz w:val="20"/>
                <w:szCs w:val="20"/>
                <w:color w:val="auto"/>
              </w:rPr>
            </w:pPr>
            <w:r>
              <w:rPr>
                <w:rFonts w:ascii="Arial" w:cs="Arial" w:eastAsia="Arial" w:hAnsi="Arial"/>
                <w:sz w:val="18"/>
                <w:szCs w:val="18"/>
                <w:color w:val="auto"/>
              </w:rPr>
              <w:t>March 27,</w:t>
            </w:r>
          </w:p>
        </w:tc>
        <w:tc>
          <w:tcPr>
            <w:tcW w:w="260" w:type="dxa"/>
            <w:vAlign w:val="bottom"/>
          </w:tcPr>
          <w:p>
            <w:pPr>
              <w:spacing w:after="0"/>
              <w:rPr>
                <w:sz w:val="14"/>
                <w:szCs w:val="14"/>
                <w:color w:val="auto"/>
              </w:rPr>
            </w:pPr>
          </w:p>
        </w:tc>
        <w:tc>
          <w:tcPr>
            <w:tcW w:w="1320" w:type="dxa"/>
            <w:vAlign w:val="bottom"/>
          </w:tcPr>
          <w:p>
            <w:pPr>
              <w:jc w:val="right"/>
              <w:ind w:right="290"/>
              <w:spacing w:after="0" w:line="169" w:lineRule="exact"/>
              <w:rPr>
                <w:sz w:val="20"/>
                <w:szCs w:val="20"/>
                <w:color w:val="auto"/>
              </w:rPr>
            </w:pPr>
            <w:r>
              <w:rPr>
                <w:rFonts w:ascii="Arial" w:cs="Arial" w:eastAsia="Arial" w:hAnsi="Arial"/>
                <w:sz w:val="18"/>
                <w:szCs w:val="18"/>
                <w:color w:val="auto"/>
              </w:rPr>
              <w:t>March 28,</w:t>
            </w:r>
          </w:p>
        </w:tc>
      </w:tr>
      <w:tr>
        <w:trPr>
          <w:trHeight w:val="241"/>
        </w:trPr>
        <w:tc>
          <w:tcPr>
            <w:tcW w:w="7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2025</w:t>
            </w:r>
          </w:p>
        </w:tc>
      </w:tr>
      <w:tr>
        <w:trPr>
          <w:trHeight w:val="212"/>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Contractor</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7980" w:type="dxa"/>
            <w:vAlign w:val="bottom"/>
          </w:tcPr>
          <w:p>
            <w:pPr>
              <w:ind w:left="100"/>
              <w:spacing w:after="0"/>
              <w:rPr>
                <w:sz w:val="20"/>
                <w:szCs w:val="20"/>
                <w:color w:val="auto"/>
              </w:rPr>
            </w:pPr>
            <w:r>
              <w:rPr>
                <w:rFonts w:ascii="Arial" w:cs="Arial" w:eastAsia="Arial" w:hAnsi="Arial"/>
                <w:sz w:val="18"/>
                <w:szCs w:val="18"/>
                <w:color w:val="auto"/>
              </w:rPr>
              <w:t>Net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259,981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255,032</w:t>
            </w:r>
          </w:p>
        </w:tc>
      </w:tr>
      <w:tr>
        <w:trPr>
          <w:trHeight w:val="230"/>
        </w:trPr>
        <w:tc>
          <w:tcPr>
            <w:tcW w:w="7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products sold</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133,643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131,883</w:t>
            </w:r>
          </w:p>
        </w:tc>
      </w:tr>
      <w:tr>
        <w:trPr>
          <w:trHeight w:val="223"/>
        </w:trPr>
        <w:tc>
          <w:tcPr>
            <w:tcW w:w="7980" w:type="dxa"/>
            <w:vAlign w:val="bottom"/>
          </w:tcPr>
          <w:p>
            <w:pPr>
              <w:ind w:left="10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126,338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123,149</w:t>
            </w:r>
          </w:p>
        </w:tc>
      </w:tr>
      <w:tr>
        <w:trPr>
          <w:trHeight w:val="229"/>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61,219</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Contractor Operating Earnings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62,235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61,930</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7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231,653</w:t>
            </w:r>
          </w:p>
        </w:tc>
      </w:tr>
      <w:tr>
        <w:trPr>
          <w:trHeight w:val="230"/>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Cost of products sold</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104,637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96,824</w:t>
            </w:r>
          </w:p>
        </w:tc>
      </w:tr>
      <w:tr>
        <w:trPr>
          <w:trHeight w:val="223"/>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134,829</w:t>
            </w:r>
          </w:p>
        </w:tc>
      </w:tr>
      <w:tr>
        <w:trPr>
          <w:trHeight w:val="230"/>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59,968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55,234</w:t>
            </w:r>
          </w:p>
        </w:tc>
      </w:tr>
      <w:tr>
        <w:trPr>
          <w:trHeight w:val="248"/>
        </w:trPr>
        <w:tc>
          <w:tcPr>
            <w:tcW w:w="7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Industrial Operating Earnings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79,595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Expansion Markets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Net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39,751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41,599</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products sold</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20,163</w:t>
            </w:r>
          </w:p>
        </w:tc>
        <w:tc>
          <w:tcPr>
            <w:tcW w:w="0" w:type="dxa"/>
            <w:vAlign w:val="bottom"/>
          </w:tcPr>
          <w:p>
            <w:pPr>
              <w:spacing w:after="0"/>
              <w:rPr>
                <w:sz w:val="1"/>
                <w:szCs w:val="1"/>
                <w:color w:val="auto"/>
              </w:rPr>
            </w:pPr>
          </w:p>
        </w:tc>
      </w:tr>
      <w:tr>
        <w:trPr>
          <w:trHeight w:val="223"/>
        </w:trPr>
        <w:tc>
          <w:tcPr>
            <w:tcW w:w="798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20,579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21,436</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11,371</w:t>
            </w:r>
          </w:p>
        </w:tc>
        <w:tc>
          <w:tcPr>
            <w:tcW w:w="0" w:type="dxa"/>
            <w:vAlign w:val="bottom"/>
          </w:tcPr>
          <w:p>
            <w:pPr>
              <w:spacing w:after="0"/>
              <w:rPr>
                <w:sz w:val="1"/>
                <w:szCs w:val="1"/>
                <w:color w:val="auto"/>
              </w:rPr>
            </w:pPr>
          </w:p>
        </w:tc>
      </w:tr>
      <w:tr>
        <w:trPr>
          <w:trHeight w:val="223"/>
        </w:trPr>
        <w:tc>
          <w:tcPr>
            <w:tcW w:w="7980" w:type="dxa"/>
            <w:vAlign w:val="bottom"/>
          </w:tcPr>
          <w:p>
            <w:pPr>
              <w:ind w:left="140"/>
              <w:spacing w:after="0"/>
              <w:rPr>
                <w:sz w:val="20"/>
                <w:szCs w:val="20"/>
                <w:color w:val="auto"/>
              </w:rPr>
            </w:pPr>
            <w:r>
              <w:rPr>
                <w:rFonts w:ascii="Arial" w:cs="Arial" w:eastAsia="Arial" w:hAnsi="Arial"/>
                <w:sz w:val="18"/>
                <w:szCs w:val="18"/>
                <w:color w:val="auto"/>
              </w:rPr>
              <w:t>Expansion Markets Operating Earnings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10,065</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Reportable Segment Operating Earnings Total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147,686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151,590</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Unallocated corporate expense</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7,577</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Operating Earnings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137,775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144,013</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(8,174)</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Earnings Before Income Taxes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151,474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Geographic information follows (in thousands):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7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7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169"/>
        </w:trPr>
        <w:tc>
          <w:tcPr>
            <w:tcW w:w="7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360"/>
              <w:spacing w:after="0" w:line="169" w:lineRule="exact"/>
              <w:rPr>
                <w:sz w:val="20"/>
                <w:szCs w:val="20"/>
                <w:color w:val="auto"/>
              </w:rPr>
            </w:pPr>
            <w:r>
              <w:rPr>
                <w:rFonts w:ascii="Arial" w:cs="Arial" w:eastAsia="Arial" w:hAnsi="Arial"/>
                <w:sz w:val="18"/>
                <w:szCs w:val="18"/>
                <w:color w:val="auto"/>
                <w:w w:val="99"/>
              </w:rPr>
              <w:t>March 27,</w:t>
            </w:r>
          </w:p>
        </w:tc>
        <w:tc>
          <w:tcPr>
            <w:tcW w:w="180" w:type="dxa"/>
            <w:vAlign w:val="bottom"/>
          </w:tcPr>
          <w:p>
            <w:pPr>
              <w:spacing w:after="0"/>
              <w:rPr>
                <w:sz w:val="14"/>
                <w:szCs w:val="14"/>
                <w:color w:val="auto"/>
              </w:rPr>
            </w:pPr>
          </w:p>
        </w:tc>
        <w:tc>
          <w:tcPr>
            <w:tcW w:w="1400" w:type="dxa"/>
            <w:vAlign w:val="bottom"/>
          </w:tcPr>
          <w:p>
            <w:pPr>
              <w:jc w:val="center"/>
              <w:ind w:right="70"/>
              <w:spacing w:after="0" w:line="169" w:lineRule="exact"/>
              <w:rPr>
                <w:sz w:val="20"/>
                <w:szCs w:val="20"/>
                <w:color w:val="auto"/>
              </w:rPr>
            </w:pPr>
            <w:r>
              <w:rPr>
                <w:rFonts w:ascii="Arial" w:cs="Arial" w:eastAsia="Arial" w:hAnsi="Arial"/>
                <w:sz w:val="18"/>
                <w:szCs w:val="18"/>
                <w:color w:val="auto"/>
                <w:w w:val="99"/>
              </w:rPr>
              <w:t>March 28,</w:t>
            </w:r>
          </w:p>
        </w:tc>
        <w:tc>
          <w:tcPr>
            <w:tcW w:w="0" w:type="dxa"/>
            <w:vAlign w:val="bottom"/>
          </w:tcPr>
          <w:p>
            <w:pPr>
              <w:spacing w:after="0"/>
              <w:rPr>
                <w:sz w:val="1"/>
                <w:szCs w:val="1"/>
                <w:color w:val="auto"/>
              </w:rPr>
            </w:pPr>
          </w:p>
        </w:tc>
      </w:tr>
      <w:tr>
        <w:trPr>
          <w:trHeight w:val="241"/>
        </w:trPr>
        <w:tc>
          <w:tcPr>
            <w:tcW w:w="7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9"/>
              </w:rPr>
              <w:t>2026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2025</w:t>
            </w:r>
          </w:p>
        </w:tc>
        <w:tc>
          <w:tcPr>
            <w:tcW w:w="0" w:type="dxa"/>
            <w:vAlign w:val="bottom"/>
          </w:tcPr>
          <w:p>
            <w:pPr>
              <w:spacing w:after="0"/>
              <w:rPr>
                <w:sz w:val="1"/>
                <w:szCs w:val="1"/>
                <w:color w:val="auto"/>
              </w:rPr>
            </w:pPr>
          </w:p>
        </w:tc>
      </w:tr>
      <w:tr>
        <w:trPr>
          <w:trHeight w:val="212"/>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 (based on customer location)</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291,197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282,557</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countries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245,727</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540,144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528,284</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3"/>
        </w:trPr>
        <w:tc>
          <w:tcPr>
            <w:tcW w:w="7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March 27,</w:t>
            </w:r>
          </w:p>
        </w:tc>
        <w:tc>
          <w:tcPr>
            <w:tcW w:w="180" w:type="dxa"/>
            <w:vAlign w:val="bottom"/>
          </w:tcPr>
          <w:p>
            <w:pPr>
              <w:spacing w:after="0"/>
              <w:rPr>
                <w:sz w:val="24"/>
                <w:szCs w:val="24"/>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color w:val="auto"/>
              </w:rPr>
              <w:t>December 26,</w:t>
            </w:r>
          </w:p>
        </w:tc>
        <w:tc>
          <w:tcPr>
            <w:tcW w:w="0" w:type="dxa"/>
            <w:vAlign w:val="bottom"/>
          </w:tcPr>
          <w:p>
            <w:pPr>
              <w:spacing w:after="0"/>
              <w:rPr>
                <w:sz w:val="1"/>
                <w:szCs w:val="1"/>
                <w:color w:val="auto"/>
              </w:rPr>
            </w:pPr>
          </w:p>
        </w:tc>
      </w:tr>
      <w:tr>
        <w:trPr>
          <w:trHeight w:val="235"/>
        </w:trPr>
        <w:tc>
          <w:tcPr>
            <w:tcW w:w="7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9"/>
              </w:rPr>
              <w:t>2026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2025</w:t>
            </w: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Long-lived Assets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592,718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600,011</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countries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152,843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155,053</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745,561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755,064</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8"/>
                <w:szCs w:val="18"/>
                <w:b w:val="1"/>
                <w:bCs w:val="1"/>
                <w:color w:val="auto"/>
              </w:rPr>
              <w:t>3. Inventories</w:t>
            </w: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9"/>
        </w:trPr>
        <w:tc>
          <w:tcPr>
            <w:tcW w:w="7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7980" w:type="dxa"/>
            <w:vAlign w:val="bottom"/>
          </w:tcPr>
          <w:p>
            <w:pPr>
              <w:spacing w:after="0"/>
              <w:rPr>
                <w:sz w:val="20"/>
                <w:szCs w:val="20"/>
                <w:color w:val="auto"/>
              </w:rPr>
            </w:pPr>
            <w:r>
              <w:rPr>
                <w:rFonts w:ascii="Arial" w:cs="Arial" w:eastAsia="Arial" w:hAnsi="Arial"/>
                <w:sz w:val="18"/>
                <w:szCs w:val="18"/>
                <w:color w:val="auto"/>
              </w:rPr>
              <w:t>Major components of inventories were as follows (in thousands):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7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March 27,</w:t>
            </w:r>
          </w:p>
        </w:tc>
        <w:tc>
          <w:tcPr>
            <w:tcW w:w="180" w:type="dxa"/>
            <w:vAlign w:val="bottom"/>
          </w:tcPr>
          <w:p>
            <w:pPr>
              <w:spacing w:after="0"/>
              <w:rPr>
                <w:sz w:val="24"/>
                <w:szCs w:val="24"/>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color w:val="auto"/>
              </w:rPr>
              <w:t>December 26,</w:t>
            </w:r>
          </w:p>
        </w:tc>
        <w:tc>
          <w:tcPr>
            <w:tcW w:w="0" w:type="dxa"/>
            <w:vAlign w:val="bottom"/>
          </w:tcPr>
          <w:p>
            <w:pPr>
              <w:spacing w:after="0"/>
              <w:rPr>
                <w:sz w:val="1"/>
                <w:szCs w:val="1"/>
                <w:color w:val="auto"/>
              </w:rPr>
            </w:pPr>
          </w:p>
        </w:tc>
      </w:tr>
      <w:tr>
        <w:trPr>
          <w:trHeight w:val="241"/>
        </w:trPr>
        <w:tc>
          <w:tcPr>
            <w:tcW w:w="7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9"/>
              </w:rPr>
              <w:t>2026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2025</w:t>
            </w:r>
          </w:p>
        </w:tc>
        <w:tc>
          <w:tcPr>
            <w:tcW w:w="0" w:type="dxa"/>
            <w:vAlign w:val="bottom"/>
          </w:tcPr>
          <w:p>
            <w:pPr>
              <w:spacing w:after="0"/>
              <w:rPr>
                <w:sz w:val="1"/>
                <w:szCs w:val="1"/>
                <w:color w:val="auto"/>
              </w:rPr>
            </w:pPr>
          </w:p>
        </w:tc>
      </w:tr>
      <w:tr>
        <w:trPr>
          <w:trHeight w:val="225"/>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Finished products and components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175,684</w:t>
            </w:r>
          </w:p>
        </w:tc>
        <w:tc>
          <w:tcPr>
            <w:tcW w:w="0" w:type="dxa"/>
            <w:vAlign w:val="bottom"/>
          </w:tcPr>
          <w:p>
            <w:pPr>
              <w:spacing w:after="0"/>
              <w:rPr>
                <w:sz w:val="1"/>
                <w:szCs w:val="1"/>
                <w:color w:val="auto"/>
              </w:rPr>
            </w:pPr>
          </w:p>
        </w:tc>
      </w:tr>
      <w:tr>
        <w:trPr>
          <w:trHeight w:val="230"/>
        </w:trPr>
        <w:tc>
          <w:tcPr>
            <w:tcW w:w="7980" w:type="dxa"/>
            <w:vAlign w:val="bottom"/>
          </w:tcPr>
          <w:p>
            <w:pPr>
              <w:ind w:left="180"/>
              <w:spacing w:after="0"/>
              <w:rPr>
                <w:sz w:val="20"/>
                <w:szCs w:val="20"/>
                <w:color w:val="auto"/>
              </w:rPr>
            </w:pPr>
            <w:r>
              <w:rPr>
                <w:rFonts w:ascii="Arial" w:cs="Arial" w:eastAsia="Arial" w:hAnsi="Arial"/>
                <w:sz w:val="18"/>
                <w:szCs w:val="18"/>
                <w:color w:val="auto"/>
              </w:rPr>
              <w:t>Products and components in various stages of completion</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133,070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123,866</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Raw materials and purchased components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216,559</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Subtotal</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525,453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516,109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Reduction to LIFO cost</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(114,971)</w:t>
            </w:r>
          </w:p>
        </w:tc>
        <w:tc>
          <w:tcPr>
            <w:tcW w:w="0" w:type="dxa"/>
            <w:vAlign w:val="bottom"/>
          </w:tcPr>
          <w:p>
            <w:pPr>
              <w:spacing w:after="0"/>
              <w:rPr>
                <w:sz w:val="1"/>
                <w:szCs w:val="1"/>
                <w:color w:val="auto"/>
              </w:rPr>
            </w:pPr>
          </w:p>
        </w:tc>
      </w:tr>
      <w:tr>
        <w:trPr>
          <w:trHeight w:val="223"/>
        </w:trPr>
        <w:tc>
          <w:tcPr>
            <w:tcW w:w="798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407,647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401,138</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Share-Based Awards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Options on common shares granted and outstanding, as well as the weighted average exercise price, are shown below (in thousands, except exercise prices):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1560" w:type="dxa"/>
            <w:vAlign w:val="bottom"/>
          </w:tcPr>
          <w:p>
            <w:pPr>
              <w:jc w:val="right"/>
              <w:ind w:right="430"/>
              <w:spacing w:after="0"/>
              <w:rPr>
                <w:sz w:val="20"/>
                <w:szCs w:val="20"/>
                <w:color w:val="auto"/>
              </w:rPr>
            </w:pPr>
            <w:r>
              <w:rPr>
                <w:rFonts w:ascii="Arial" w:cs="Arial" w:eastAsia="Arial" w:hAnsi="Arial"/>
                <w:sz w:val="18"/>
                <w:szCs w:val="18"/>
                <w:color w:val="auto"/>
              </w:rPr>
              <w:t>Option</w:t>
            </w:r>
          </w:p>
        </w:tc>
        <w:tc>
          <w:tcPr>
            <w:tcW w:w="100" w:type="dxa"/>
            <w:vAlign w:val="bottom"/>
          </w:tcPr>
          <w:p>
            <w:pPr>
              <w:spacing w:after="0"/>
              <w:rPr>
                <w:sz w:val="17"/>
                <w:szCs w:val="17"/>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color w:val="auto"/>
                <w:w w:val="99"/>
              </w:rPr>
              <w:t>Weighted Average</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Options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Weighted Average</w:t>
            </w:r>
          </w:p>
        </w:tc>
      </w:tr>
      <w:tr>
        <w:trPr>
          <w:trHeight w:val="241"/>
        </w:trPr>
        <w:tc>
          <w:tcPr>
            <w:tcW w:w="4640" w:type="dxa"/>
            <w:vAlign w:val="bottom"/>
          </w:tcPr>
          <w:p>
            <w:pPr>
              <w:spacing w:after="0"/>
              <w:rPr>
                <w:sz w:val="20"/>
                <w:szCs w:val="20"/>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color w:val="auto"/>
              </w:rPr>
              <w:t>Exercise Price</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Exercisable</w:t>
            </w:r>
          </w:p>
        </w:tc>
        <w:tc>
          <w:tcPr>
            <w:tcW w:w="180" w:type="dxa"/>
            <w:vAlign w:val="bottom"/>
          </w:tcPr>
          <w:p>
            <w:pPr>
              <w:spacing w:after="0"/>
              <w:rPr>
                <w:sz w:val="20"/>
                <w:szCs w:val="20"/>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Exercise Price</w:t>
            </w:r>
          </w:p>
        </w:tc>
      </w:tr>
      <w:tr>
        <w:trPr>
          <w:trHeight w:val="225"/>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26, 2025</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61.38</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52.94</w:t>
            </w:r>
          </w:p>
        </w:tc>
      </w:tr>
      <w:tr>
        <w:trPr>
          <w:trHeight w:val="229"/>
        </w:trPr>
        <w:tc>
          <w:tcPr>
            <w:tcW w:w="4640" w:type="dxa"/>
            <w:vAlign w:val="bottom"/>
          </w:tcPr>
          <w:p>
            <w:pPr>
              <w:ind w:left="30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93.43</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46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46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Canceled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82.49</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March 27, 2026</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57.48</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305"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The Company recognized year-to-date share-based compensation of $8 million in 2026 and $7 million in 2025. As of March 27, 2026, there was $ 42 million of unrecognized compensation cost related to unvested options, expected to be recognized over a weighted average period of 3.1 years.</w:t>
      </w:r>
    </w:p>
    <w:p>
      <w:pPr>
        <w:spacing w:after="0" w:line="19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 pricing model with the following weighted average assumptions and results: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color w:val="auto"/>
              </w:rPr>
              <w:t>Three Months Ended</w:t>
            </w:r>
          </w:p>
        </w:tc>
      </w:tr>
      <w:tr>
        <w:trPr>
          <w:trHeight w:val="169"/>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tcPr>
          <w:p>
            <w:pPr>
              <w:ind w:left="160"/>
              <w:spacing w:after="0" w:line="169" w:lineRule="exact"/>
              <w:rPr>
                <w:sz w:val="20"/>
                <w:szCs w:val="20"/>
                <w:color w:val="auto"/>
              </w:rPr>
            </w:pPr>
            <w:r>
              <w:rPr>
                <w:rFonts w:ascii="Arial" w:cs="Arial" w:eastAsia="Arial" w:hAnsi="Arial"/>
                <w:sz w:val="18"/>
                <w:szCs w:val="18"/>
                <w:color w:val="auto"/>
              </w:rPr>
              <w:t>March 27,</w:t>
            </w:r>
          </w:p>
        </w:tc>
        <w:tc>
          <w:tcPr>
            <w:tcW w:w="300" w:type="dxa"/>
            <w:vAlign w:val="bottom"/>
          </w:tcPr>
          <w:p>
            <w:pPr>
              <w:spacing w:after="0"/>
              <w:rPr>
                <w:sz w:val="14"/>
                <w:szCs w:val="14"/>
                <w:color w:val="auto"/>
              </w:rPr>
            </w:pPr>
          </w:p>
        </w:tc>
        <w:tc>
          <w:tcPr>
            <w:tcW w:w="1420" w:type="dxa"/>
            <w:vAlign w:val="bottom"/>
          </w:tcPr>
          <w:p>
            <w:pPr>
              <w:jc w:val="right"/>
              <w:ind w:right="370"/>
              <w:spacing w:after="0" w:line="169" w:lineRule="exact"/>
              <w:rPr>
                <w:sz w:val="20"/>
                <w:szCs w:val="20"/>
                <w:color w:val="auto"/>
              </w:rPr>
            </w:pPr>
            <w:r>
              <w:rPr>
                <w:rFonts w:ascii="Arial" w:cs="Arial" w:eastAsia="Arial" w:hAnsi="Arial"/>
                <w:sz w:val="18"/>
                <w:szCs w:val="18"/>
                <w:color w:val="auto"/>
              </w:rPr>
              <w:t>March 28,</w:t>
            </w:r>
          </w:p>
        </w:tc>
      </w:tr>
      <w:tr>
        <w:trPr>
          <w:trHeight w:val="241"/>
        </w:trPr>
        <w:tc>
          <w:tcPr>
            <w:tcW w:w="77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2025</w:t>
            </w:r>
          </w:p>
        </w:tc>
      </w:tr>
      <w:tr>
        <w:trPr>
          <w:trHeight w:val="225"/>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Interest rate</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4.4 %</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26.2 %</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fair value per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26.80</w:t>
            </w:r>
          </w:p>
        </w:tc>
      </w:tr>
    </w:tbl>
    <w:p>
      <w:pPr>
        <w:spacing w:after="0" w:line="31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Under the Company’s Employee Stock Purchase Plan, the Company issued 235,000 shares in 2026 and 246,000 shares in 2025. The fair value of the employees’ purchase rights under this plan was estimated on the date of grant. The benefit of the 15 percent discount from the lesser of the fair market value per common share on the first day and the last day of the plan year was added to the fair value of the employees’ purchase rights determined using the Black-Scholes option pricing model with the following assumptions and results: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color w:val="auto"/>
              </w:rPr>
              <w:t>Three Months Ended</w:t>
            </w:r>
          </w:p>
        </w:tc>
      </w:tr>
      <w:tr>
        <w:trPr>
          <w:trHeight w:val="177"/>
        </w:trPr>
        <w:tc>
          <w:tcPr>
            <w:tcW w:w="7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2"/>
          </w:tcPr>
          <w:p>
            <w:pPr>
              <w:ind w:left="160"/>
              <w:spacing w:after="0" w:line="177" w:lineRule="exact"/>
              <w:rPr>
                <w:sz w:val="20"/>
                <w:szCs w:val="20"/>
                <w:color w:val="auto"/>
              </w:rPr>
            </w:pPr>
            <w:r>
              <w:rPr>
                <w:rFonts w:ascii="Arial" w:cs="Arial" w:eastAsia="Arial" w:hAnsi="Arial"/>
                <w:sz w:val="18"/>
                <w:szCs w:val="18"/>
                <w:color w:val="auto"/>
              </w:rPr>
              <w:t>March 27,</w:t>
            </w:r>
          </w:p>
        </w:tc>
        <w:tc>
          <w:tcPr>
            <w:tcW w:w="300" w:type="dxa"/>
            <w:vAlign w:val="bottom"/>
          </w:tcPr>
          <w:p>
            <w:pPr>
              <w:spacing w:after="0"/>
              <w:rPr>
                <w:sz w:val="15"/>
                <w:szCs w:val="15"/>
                <w:color w:val="auto"/>
              </w:rPr>
            </w:pPr>
          </w:p>
        </w:tc>
        <w:tc>
          <w:tcPr>
            <w:tcW w:w="1420" w:type="dxa"/>
            <w:vAlign w:val="bottom"/>
          </w:tcPr>
          <w:p>
            <w:pPr>
              <w:jc w:val="right"/>
              <w:ind w:right="370"/>
              <w:spacing w:after="0" w:line="177" w:lineRule="exact"/>
              <w:rPr>
                <w:sz w:val="20"/>
                <w:szCs w:val="20"/>
                <w:color w:val="auto"/>
              </w:rPr>
            </w:pPr>
            <w:r>
              <w:rPr>
                <w:rFonts w:ascii="Arial" w:cs="Arial" w:eastAsia="Arial" w:hAnsi="Arial"/>
                <w:sz w:val="18"/>
                <w:szCs w:val="18"/>
                <w:color w:val="auto"/>
              </w:rPr>
              <w:t>March 28,</w:t>
            </w:r>
          </w:p>
        </w:tc>
      </w:tr>
      <w:tr>
        <w:trPr>
          <w:trHeight w:val="235"/>
        </w:trPr>
        <w:tc>
          <w:tcPr>
            <w:tcW w:w="77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2025</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Interest rate</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4.1 %</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19.6 %</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fair value per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(in thousands, except per share amounts):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earnings available to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 average shares outstanding for basic earnings per share</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Dilutive effect of stock options computed using the treasury stock method and the average market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266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2"/>
          </w:tcPr>
          <w:p>
            <w:pPr>
              <w:ind w:left="140"/>
              <w:spacing w:after="0" w:line="169" w:lineRule="exact"/>
              <w:rPr>
                <w:sz w:val="20"/>
                <w:szCs w:val="20"/>
                <w:color w:val="auto"/>
              </w:rPr>
            </w:pPr>
            <w:r>
              <w:rPr>
                <w:rFonts w:ascii="Arial" w:cs="Arial" w:eastAsia="Arial" w:hAnsi="Arial"/>
                <w:sz w:val="18"/>
                <w:szCs w:val="18"/>
                <w:color w:val="auto"/>
              </w:rPr>
              <w:t>March 27,</w:t>
            </w:r>
          </w:p>
        </w:tc>
        <w:tc>
          <w:tcPr>
            <w:tcW w:w="2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290"/>
              <w:spacing w:after="0" w:line="169" w:lineRule="exact"/>
              <w:rPr>
                <w:sz w:val="20"/>
                <w:szCs w:val="20"/>
                <w:color w:val="auto"/>
              </w:rPr>
            </w:pPr>
            <w:r>
              <w:rPr>
                <w:rFonts w:ascii="Arial" w:cs="Arial" w:eastAsia="Arial" w:hAnsi="Arial"/>
                <w:sz w:val="18"/>
                <w:szCs w:val="18"/>
                <w:color w:val="auto"/>
              </w:rPr>
              <w:t>March 28,</w:t>
            </w:r>
          </w:p>
        </w:tc>
      </w:tr>
      <w:tr>
        <w:trPr>
          <w:trHeight w:val="241"/>
        </w:trPr>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2025</w:t>
            </w:r>
          </w:p>
        </w:tc>
      </w:tr>
      <w:tr>
        <w:trPr>
          <w:trHeight w:val="225"/>
        </w:trPr>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118,506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124,101</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2"/>
        </w:trPr>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165,632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168,560</w:t>
            </w:r>
          </w:p>
        </w:tc>
      </w:tr>
      <w:tr>
        <w:trPr>
          <w:trHeight w:val="409"/>
        </w:trPr>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2,702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3,021</w:t>
            </w:r>
          </w:p>
        </w:tc>
      </w:tr>
    </w:tbl>
    <w:p>
      <w:pPr>
        <w:spacing w:after="0" w:line="1" w:lineRule="exact"/>
        <w:rPr>
          <w:sz w:val="20"/>
          <w:szCs w:val="20"/>
          <w:color w:val="auto"/>
        </w:rPr>
      </w:pPr>
    </w:p>
    <w:p>
      <w:pPr>
        <w:sectPr>
          <w:pgSz w:w="11900" w:h="16838" w:orient="portrait"/>
          <w:cols w:equalWidth="0" w:num="2">
            <w:col w:w="7800" w:space="180"/>
            <w:col w:w="326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Weighted average shares outstanding for diluted earnings per share</w:t>
            </w:r>
          </w:p>
        </w:tc>
        <w:tc>
          <w:tcPr>
            <w:tcW w:w="4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168,334</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171,581</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0.72</w:t>
            </w:r>
          </w:p>
        </w:tc>
      </w:tr>
      <w:tr>
        <w:trPr>
          <w:trHeight w:val="270"/>
        </w:trPr>
        <w:tc>
          <w:tcPr>
            <w:tcW w:w="79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39"/>
        </w:trPr>
        <w:tc>
          <w:tcPr>
            <w:tcW w:w="7980" w:type="dxa"/>
            <w:vAlign w:val="bottom"/>
          </w:tcPr>
          <w:p>
            <w:pPr>
              <w:ind w:left="20"/>
              <w:spacing w:after="0"/>
              <w:rPr>
                <w:sz w:val="20"/>
                <w:szCs w:val="20"/>
                <w:color w:val="auto"/>
              </w:rPr>
            </w:pPr>
            <w:r>
              <w:rPr>
                <w:rFonts w:ascii="Arial" w:cs="Arial" w:eastAsia="Arial" w:hAnsi="Arial"/>
                <w:sz w:val="18"/>
                <w:szCs w:val="18"/>
                <w:color w:val="auto"/>
              </w:rPr>
              <w:t>Anti-dilutive shares not included in diluted earnings per share computation</w:t>
            </w: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2,591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1,860</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Retirement Benefits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retirement benefit plans were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color w:val="auto"/>
              </w:rPr>
              <w:t>Three Months Ended</w:t>
            </w:r>
          </w:p>
        </w:tc>
      </w:tr>
      <w:tr>
        <w:trPr>
          <w:trHeight w:val="169"/>
        </w:trPr>
        <w:tc>
          <w:tcPr>
            <w:tcW w:w="7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ind w:left="140"/>
              <w:spacing w:after="0" w:line="169" w:lineRule="exact"/>
              <w:rPr>
                <w:sz w:val="20"/>
                <w:szCs w:val="20"/>
                <w:color w:val="auto"/>
              </w:rPr>
            </w:pPr>
            <w:r>
              <w:rPr>
                <w:rFonts w:ascii="Arial" w:cs="Arial" w:eastAsia="Arial" w:hAnsi="Arial"/>
                <w:sz w:val="18"/>
                <w:szCs w:val="18"/>
                <w:color w:val="auto"/>
              </w:rPr>
              <w:t>March 27,</w:t>
            </w:r>
          </w:p>
        </w:tc>
        <w:tc>
          <w:tcPr>
            <w:tcW w:w="260" w:type="dxa"/>
            <w:vAlign w:val="bottom"/>
          </w:tcPr>
          <w:p>
            <w:pPr>
              <w:spacing w:after="0"/>
              <w:rPr>
                <w:sz w:val="14"/>
                <w:szCs w:val="14"/>
                <w:color w:val="auto"/>
              </w:rPr>
            </w:pPr>
          </w:p>
        </w:tc>
        <w:tc>
          <w:tcPr>
            <w:tcW w:w="1320" w:type="dxa"/>
            <w:vAlign w:val="bottom"/>
          </w:tcPr>
          <w:p>
            <w:pPr>
              <w:jc w:val="right"/>
              <w:ind w:right="290"/>
              <w:spacing w:after="0" w:line="169" w:lineRule="exact"/>
              <w:rPr>
                <w:sz w:val="20"/>
                <w:szCs w:val="20"/>
                <w:color w:val="auto"/>
              </w:rPr>
            </w:pPr>
            <w:r>
              <w:rPr>
                <w:rFonts w:ascii="Arial" w:cs="Arial" w:eastAsia="Arial" w:hAnsi="Arial"/>
                <w:sz w:val="18"/>
                <w:szCs w:val="18"/>
                <w:color w:val="auto"/>
              </w:rPr>
              <w:t>March 28,</w:t>
            </w:r>
          </w:p>
        </w:tc>
      </w:tr>
      <w:tr>
        <w:trPr>
          <w:trHeight w:val="241"/>
        </w:trPr>
        <w:tc>
          <w:tcPr>
            <w:tcW w:w="7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2025</w:t>
            </w:r>
          </w:p>
        </w:tc>
      </w:tr>
      <w:tr>
        <w:trPr>
          <w:trHeight w:val="212"/>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Benefits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1,253</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Expected return on assets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(2,903)</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and other</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7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Postretirement Medical</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r>
      <w:tr>
        <w:trPr>
          <w:trHeight w:val="20"/>
        </w:trPr>
        <w:tc>
          <w:tcPr>
            <w:tcW w:w="7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Receivables and Credit Losses</w:t>
      </w:r>
    </w:p>
    <w:p>
      <w:pPr>
        <w:spacing w:after="0" w:line="25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Accounts receivable includes trade receivables of $372 million and other receivables of $18 million as of March 27, 2026 and $376 million and $18 million of trade receivables and other receivables, respectively, as of December 26, 2025.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Credit Losses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activity for credit losses (in thousands):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color w:val="auto"/>
              </w:rPr>
              <w:t>Three Months Ended</w:t>
            </w:r>
          </w:p>
        </w:tc>
      </w:tr>
      <w:tr>
        <w:trPr>
          <w:trHeight w:val="169"/>
        </w:trPr>
        <w:tc>
          <w:tcPr>
            <w:tcW w:w="7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ind w:left="140"/>
              <w:spacing w:after="0" w:line="169" w:lineRule="exact"/>
              <w:rPr>
                <w:sz w:val="20"/>
                <w:szCs w:val="20"/>
                <w:color w:val="auto"/>
              </w:rPr>
            </w:pPr>
            <w:r>
              <w:rPr>
                <w:rFonts w:ascii="Arial" w:cs="Arial" w:eastAsia="Arial" w:hAnsi="Arial"/>
                <w:sz w:val="18"/>
                <w:szCs w:val="18"/>
                <w:color w:val="auto"/>
              </w:rPr>
              <w:t>March 27,</w:t>
            </w:r>
          </w:p>
        </w:tc>
        <w:tc>
          <w:tcPr>
            <w:tcW w:w="260" w:type="dxa"/>
            <w:vAlign w:val="bottom"/>
          </w:tcPr>
          <w:p>
            <w:pPr>
              <w:spacing w:after="0"/>
              <w:rPr>
                <w:sz w:val="14"/>
                <w:szCs w:val="14"/>
                <w:color w:val="auto"/>
              </w:rPr>
            </w:pPr>
          </w:p>
        </w:tc>
        <w:tc>
          <w:tcPr>
            <w:tcW w:w="1320" w:type="dxa"/>
            <w:vAlign w:val="bottom"/>
          </w:tcPr>
          <w:p>
            <w:pPr>
              <w:jc w:val="right"/>
              <w:ind w:right="290"/>
              <w:spacing w:after="0" w:line="169" w:lineRule="exact"/>
              <w:rPr>
                <w:sz w:val="20"/>
                <w:szCs w:val="20"/>
                <w:color w:val="auto"/>
              </w:rPr>
            </w:pPr>
            <w:r>
              <w:rPr>
                <w:rFonts w:ascii="Arial" w:cs="Arial" w:eastAsia="Arial" w:hAnsi="Arial"/>
                <w:sz w:val="18"/>
                <w:szCs w:val="18"/>
                <w:color w:val="auto"/>
              </w:rPr>
              <w:t>March 28,</w:t>
            </w:r>
          </w:p>
        </w:tc>
      </w:tr>
      <w:tr>
        <w:trPr>
          <w:trHeight w:val="239"/>
        </w:trPr>
        <w:tc>
          <w:tcPr>
            <w:tcW w:w="7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2025</w:t>
            </w:r>
          </w:p>
        </w:tc>
      </w:tr>
      <w:tr>
        <w:trPr>
          <w:trHeight w:val="227"/>
        </w:trPr>
        <w:tc>
          <w:tcPr>
            <w:tcW w:w="7980" w:type="dxa"/>
            <w:vAlign w:val="bottom"/>
          </w:tcPr>
          <w:p>
            <w:pPr>
              <w:ind w:left="60"/>
              <w:spacing w:after="0"/>
              <w:rPr>
                <w:sz w:val="20"/>
                <w:szCs w:val="20"/>
                <w:color w:val="auto"/>
              </w:rPr>
            </w:pPr>
            <w:r>
              <w:rPr>
                <w:rFonts w:ascii="Arial" w:cs="Arial" w:eastAsia="Arial" w:hAnsi="Arial"/>
                <w:sz w:val="18"/>
                <w:szCs w:val="18"/>
                <w:color w:val="auto"/>
              </w:rPr>
              <w:t>Balance, beginning</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5,264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4,973</w:t>
            </w:r>
          </w:p>
        </w:tc>
      </w:tr>
      <w:tr>
        <w:trPr>
          <w:trHeight w:val="229"/>
        </w:trPr>
        <w:tc>
          <w:tcPr>
            <w:tcW w:w="7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Additions charged to costs and expenses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30"/>
        </w:trPr>
        <w:tc>
          <w:tcPr>
            <w:tcW w:w="7980" w:type="dxa"/>
            <w:vAlign w:val="bottom"/>
          </w:tcPr>
          <w:p>
            <w:pPr>
              <w:ind w:left="60"/>
              <w:spacing w:after="0" w:line="230" w:lineRule="exact"/>
              <w:rPr>
                <w:sz w:val="20"/>
                <w:szCs w:val="20"/>
                <w:color w:val="auto"/>
              </w:rPr>
            </w:pPr>
            <w:r>
              <w:rPr>
                <w:rFonts w:ascii="Arial" w:cs="Arial" w:eastAsia="Arial" w:hAnsi="Arial"/>
                <w:sz w:val="18"/>
                <w:szCs w:val="18"/>
                <w:color w:val="auto"/>
              </w:rPr>
              <w:t xml:space="preserve">Deductions from reserves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7980" w:type="dxa"/>
            <w:vAlign w:val="bottom"/>
            <w:shd w:val="clear" w:color="auto" w:fill="CCEEFF"/>
          </w:tcPr>
          <w:p>
            <w:pPr>
              <w:ind w:left="60"/>
              <w:spacing w:after="0" w:line="230" w:lineRule="exact"/>
              <w:rPr>
                <w:sz w:val="20"/>
                <w:szCs w:val="20"/>
                <w:color w:val="auto"/>
              </w:rPr>
            </w:pPr>
            <w:r>
              <w:rPr>
                <w:rFonts w:ascii="Arial" w:cs="Arial" w:eastAsia="Arial" w:hAnsi="Arial"/>
                <w:sz w:val="18"/>
                <w:szCs w:val="18"/>
                <w:color w:val="auto"/>
              </w:rPr>
              <w:t xml:space="preserve">Other (deductions) additions </w:t>
            </w:r>
            <w:r>
              <w:rPr>
                <w:rFonts w:ascii="Arial" w:cs="Arial" w:eastAsia="Arial" w:hAnsi="Arial"/>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23"/>
        </w:trPr>
        <w:tc>
          <w:tcPr>
            <w:tcW w:w="7980" w:type="dxa"/>
            <w:vAlign w:val="bottom"/>
          </w:tcPr>
          <w:p>
            <w:pPr>
              <w:ind w:left="60"/>
              <w:spacing w:after="0"/>
              <w:rPr>
                <w:sz w:val="20"/>
                <w:szCs w:val="20"/>
                <w:color w:val="auto"/>
              </w:rPr>
            </w:pPr>
            <w:r>
              <w:rPr>
                <w:rFonts w:ascii="Arial" w:cs="Arial" w:eastAsia="Arial" w:hAnsi="Arial"/>
                <w:sz w:val="18"/>
                <w:szCs w:val="18"/>
                <w:color w:val="auto"/>
              </w:rPr>
              <w:t>Balance, ending</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5,360</w:t>
            </w:r>
          </w:p>
        </w:tc>
      </w:tr>
      <w:tr>
        <w:trPr>
          <w:trHeight w:val="20"/>
        </w:trPr>
        <w:tc>
          <w:tcPr>
            <w:tcW w:w="7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340" w:right="260" w:hanging="332"/>
        <w:spacing w:after="0" w:line="260" w:lineRule="auto"/>
        <w:tabs>
          <w:tab w:leader="none" w:pos="436"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amounts determined to be uncollectible and charged against reserves, net of collections on accounts previously charged against reserves.</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effects of foreign currency translation.</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500" w:type="dxa"/>
            <w:vAlign w:val="bottom"/>
          </w:tcPr>
          <w:p>
            <w:pPr>
              <w:spacing w:after="0"/>
              <w:rPr>
                <w:sz w:val="20"/>
                <w:szCs w:val="20"/>
                <w:color w:val="auto"/>
              </w:rPr>
            </w:pPr>
            <w:r>
              <w:rPr>
                <w:rFonts w:ascii="Arial" w:cs="Arial" w:eastAsia="Arial" w:hAnsi="Arial"/>
                <w:sz w:val="18"/>
                <w:szCs w:val="18"/>
                <w:b w:val="1"/>
                <w:bCs w:val="1"/>
                <w:color w:val="auto"/>
              </w:rPr>
              <w:t>8. Intangible Assets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1"/>
        </w:trPr>
        <w:tc>
          <w:tcPr>
            <w:tcW w:w="6620" w:type="dxa"/>
            <w:vAlign w:val="bottom"/>
            <w:gridSpan w:val="10"/>
          </w:tcPr>
          <w:p>
            <w:pPr>
              <w:spacing w:after="0"/>
              <w:rPr>
                <w:sz w:val="20"/>
                <w:szCs w:val="20"/>
                <w:color w:val="auto"/>
              </w:rPr>
            </w:pPr>
            <w:r>
              <w:rPr>
                <w:rFonts w:ascii="Arial" w:cs="Arial" w:eastAsia="Arial" w:hAnsi="Arial"/>
                <w:sz w:val="18"/>
                <w:szCs w:val="18"/>
                <w:color w:val="auto"/>
              </w:rPr>
              <w:t>Components of other intangible assets were as follows (dollars in thousands):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35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8"/>
                <w:szCs w:val="18"/>
                <w:color w:val="auto"/>
                <w:w w:val="99"/>
              </w:rPr>
              <w:t>Finite Life</w:t>
            </w: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98"/>
              </w:rPr>
              <w:t>Indefinite Life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3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7"/>
              </w:rPr>
              <w:t>Customer</w:t>
            </w:r>
          </w:p>
        </w:tc>
        <w:tc>
          <w:tcPr>
            <w:tcW w:w="180" w:type="dxa"/>
            <w:vAlign w:val="bottom"/>
          </w:tcPr>
          <w:p>
            <w:pPr>
              <w:spacing w:after="0"/>
              <w:rPr>
                <w:sz w:val="15"/>
                <w:szCs w:val="15"/>
                <w:color w:val="auto"/>
              </w:rPr>
            </w:pPr>
          </w:p>
        </w:tc>
        <w:tc>
          <w:tcPr>
            <w:tcW w:w="1380" w:type="dxa"/>
            <w:vAlign w:val="bottom"/>
            <w:gridSpan w:val="4"/>
          </w:tcPr>
          <w:p>
            <w:pPr>
              <w:jc w:val="center"/>
              <w:ind w:right="300"/>
              <w:spacing w:after="0" w:line="177" w:lineRule="exact"/>
              <w:rPr>
                <w:sz w:val="20"/>
                <w:szCs w:val="20"/>
                <w:color w:val="auto"/>
              </w:rPr>
            </w:pPr>
            <w:r>
              <w:rPr>
                <w:rFonts w:ascii="Arial" w:cs="Arial" w:eastAsia="Arial" w:hAnsi="Arial"/>
                <w:sz w:val="18"/>
                <w:szCs w:val="18"/>
                <w:color w:val="auto"/>
                <w:w w:val="99"/>
              </w:rPr>
              <w:t>Patents and</w:t>
            </w:r>
          </w:p>
        </w:tc>
        <w:tc>
          <w:tcPr>
            <w:tcW w:w="160" w:type="dxa"/>
            <w:vAlign w:val="bottom"/>
          </w:tcPr>
          <w:p>
            <w:pPr>
              <w:spacing w:after="0"/>
              <w:rPr>
                <w:sz w:val="15"/>
                <w:szCs w:val="15"/>
                <w:color w:val="auto"/>
              </w:rPr>
            </w:pPr>
          </w:p>
        </w:tc>
        <w:tc>
          <w:tcPr>
            <w:tcW w:w="1300" w:type="dxa"/>
            <w:vAlign w:val="bottom"/>
            <w:gridSpan w:val="2"/>
          </w:tcPr>
          <w:p>
            <w:pPr>
              <w:jc w:val="center"/>
              <w:ind w:right="140"/>
              <w:spacing w:after="0" w:line="177" w:lineRule="exact"/>
              <w:rPr>
                <w:sz w:val="20"/>
                <w:szCs w:val="20"/>
                <w:color w:val="auto"/>
              </w:rPr>
            </w:pPr>
            <w:r>
              <w:rPr>
                <w:rFonts w:ascii="Arial" w:cs="Arial" w:eastAsia="Arial" w:hAnsi="Arial"/>
                <w:sz w:val="18"/>
                <w:szCs w:val="18"/>
                <w:color w:val="auto"/>
                <w:w w:val="98"/>
              </w:rPr>
              <w:t>Trademarks,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vMerge w:val="restart"/>
          </w:tcPr>
          <w:p>
            <w:pPr>
              <w:ind w:left="320"/>
              <w:spacing w:after="0"/>
              <w:rPr>
                <w:sz w:val="20"/>
                <w:szCs w:val="20"/>
                <w:color w:val="auto"/>
              </w:rPr>
            </w:pPr>
            <w:r>
              <w:rPr>
                <w:rFonts w:ascii="Arial" w:cs="Arial" w:eastAsia="Arial" w:hAnsi="Arial"/>
                <w:sz w:val="18"/>
                <w:szCs w:val="18"/>
                <w:color w:val="auto"/>
              </w:rPr>
              <w:t>Trade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4"/>
          </w:tcPr>
          <w:p>
            <w:pPr>
              <w:jc w:val="center"/>
              <w:ind w:right="300"/>
              <w:spacing w:after="0" w:line="181" w:lineRule="exact"/>
              <w:rPr>
                <w:sz w:val="20"/>
                <w:szCs w:val="20"/>
                <w:color w:val="auto"/>
              </w:rPr>
            </w:pPr>
            <w:r>
              <w:rPr>
                <w:rFonts w:ascii="Arial" w:cs="Arial" w:eastAsia="Arial" w:hAnsi="Arial"/>
                <w:sz w:val="18"/>
                <w:szCs w:val="18"/>
                <w:color w:val="auto"/>
                <w:w w:val="99"/>
              </w:rPr>
              <w:t>Proprietary</w:t>
            </w:r>
          </w:p>
        </w:tc>
        <w:tc>
          <w:tcPr>
            <w:tcW w:w="160" w:type="dxa"/>
            <w:vAlign w:val="bottom"/>
          </w:tcPr>
          <w:p>
            <w:pPr>
              <w:spacing w:after="0"/>
              <w:rPr>
                <w:sz w:val="15"/>
                <w:szCs w:val="15"/>
                <w:color w:val="auto"/>
              </w:rPr>
            </w:pPr>
          </w:p>
        </w:tc>
        <w:tc>
          <w:tcPr>
            <w:tcW w:w="1300" w:type="dxa"/>
            <w:vAlign w:val="bottom"/>
            <w:gridSpan w:val="2"/>
          </w:tcPr>
          <w:p>
            <w:pPr>
              <w:jc w:val="center"/>
              <w:ind w:right="140"/>
              <w:spacing w:after="0" w:line="181" w:lineRule="exact"/>
              <w:rPr>
                <w:sz w:val="20"/>
                <w:szCs w:val="20"/>
                <w:color w:val="auto"/>
              </w:rPr>
            </w:pPr>
            <w:r>
              <w:rPr>
                <w:rFonts w:ascii="Arial" w:cs="Arial" w:eastAsia="Arial" w:hAnsi="Arial"/>
                <w:sz w:val="18"/>
                <w:szCs w:val="18"/>
                <w:color w:val="auto"/>
                <w:w w:val="99"/>
              </w:rPr>
              <w:t>Trade Names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vMerge w:val="restart"/>
          </w:tcPr>
          <w:p>
            <w:pPr>
              <w:jc w:val="right"/>
              <w:ind w:right="4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3500" w:type="dxa"/>
            <w:vAlign w:val="bottom"/>
            <w:vMerge w:val="restart"/>
          </w:tcPr>
          <w:p>
            <w:pPr>
              <w:ind w:left="20"/>
              <w:spacing w:after="0"/>
              <w:rPr>
                <w:sz w:val="20"/>
                <w:szCs w:val="20"/>
                <w:color w:val="auto"/>
              </w:rPr>
            </w:pPr>
            <w:r>
              <w:rPr>
                <w:rFonts w:ascii="Arial" w:cs="Arial" w:eastAsia="Arial" w:hAnsi="Arial"/>
                <w:sz w:val="18"/>
                <w:szCs w:val="18"/>
                <w:color w:val="auto"/>
              </w:rPr>
              <w:t>As of March 27, 2026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Relationships</w:t>
            </w:r>
          </w:p>
        </w:tc>
        <w:tc>
          <w:tcPr>
            <w:tcW w:w="180" w:type="dxa"/>
            <w:vAlign w:val="bottom"/>
          </w:tcPr>
          <w:p>
            <w:pPr>
              <w:spacing w:after="0"/>
              <w:rPr>
                <w:sz w:val="19"/>
                <w:szCs w:val="19"/>
                <w:color w:val="auto"/>
              </w:rPr>
            </w:pPr>
          </w:p>
        </w:tc>
        <w:tc>
          <w:tcPr>
            <w:tcW w:w="1380" w:type="dxa"/>
            <w:vAlign w:val="bottom"/>
            <w:gridSpan w:val="4"/>
          </w:tcPr>
          <w:p>
            <w:pPr>
              <w:jc w:val="center"/>
              <w:ind w:right="280"/>
              <w:spacing w:after="0"/>
              <w:rPr>
                <w:sz w:val="20"/>
                <w:szCs w:val="20"/>
                <w:color w:val="auto"/>
              </w:rPr>
            </w:pPr>
            <w:r>
              <w:rPr>
                <w:rFonts w:ascii="Arial" w:cs="Arial" w:eastAsia="Arial" w:hAnsi="Arial"/>
                <w:sz w:val="18"/>
                <w:szCs w:val="18"/>
                <w:color w:val="auto"/>
                <w:w w:val="96"/>
              </w:rPr>
              <w:t>Technology</w:t>
            </w:r>
          </w:p>
        </w:tc>
        <w:tc>
          <w:tcPr>
            <w:tcW w:w="160" w:type="dxa"/>
            <w:vAlign w:val="bottom"/>
          </w:tcPr>
          <w:p>
            <w:pPr>
              <w:spacing w:after="0"/>
              <w:rPr>
                <w:sz w:val="19"/>
                <w:szCs w:val="19"/>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and Other</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rPr>
              <w:t>Names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500" w:type="dxa"/>
            <w:vAlign w:val="bottom"/>
            <w:tcBorders>
              <w:bottom w:val="single" w:sz="8" w:color="auto"/>
            </w:tcBorders>
            <w:vMerge w:val="continue"/>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12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12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12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CCEEFF"/>
            </w:tcBorders>
          </w:tcPr>
          <w:p>
            <w:pPr>
              <w:spacing w:after="0"/>
              <w:rPr>
                <w:sz w:val="18"/>
                <w:szCs w:val="18"/>
                <w:color w:val="auto"/>
              </w:rPr>
            </w:pPr>
          </w:p>
        </w:tc>
        <w:tc>
          <w:tcPr>
            <w:tcW w:w="11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w:t>
            </w:r>
          </w:p>
        </w:tc>
        <w:tc>
          <w:tcPr>
            <w:tcW w:w="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107,034</w:t>
            </w:r>
          </w:p>
        </w:tc>
        <w:tc>
          <w:tcPr>
            <w:tcW w:w="2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353,653</w:t>
            </w: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Accumulated amortization</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(60,190)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(2,663)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(70,962)</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9,945</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Arial" w:cs="Arial" w:eastAsia="Arial" w:hAnsi="Arial"/>
                <w:sz w:val="18"/>
                <w:szCs w:val="18"/>
                <w:color w:val="auto"/>
              </w:rPr>
              <w:t>Book value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143,117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33,514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2,142</w:t>
            </w:r>
          </w:p>
        </w:tc>
        <w:tc>
          <w:tcPr>
            <w:tcW w:w="20" w:type="dxa"/>
            <w:vAlign w:val="bottom"/>
          </w:tcPr>
          <w:p>
            <w:pPr>
              <w:spacing w:after="0"/>
              <w:rPr>
                <w:sz w:val="19"/>
                <w:szCs w:val="19"/>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113,863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292,636</w:t>
            </w:r>
          </w:p>
        </w:tc>
        <w:tc>
          <w:tcPr>
            <w:tcW w:w="0" w:type="dxa"/>
            <w:vAlign w:val="bottom"/>
          </w:tcPr>
          <w:p>
            <w:pPr>
              <w:spacing w:after="0"/>
              <w:rPr>
                <w:sz w:val="1"/>
                <w:szCs w:val="1"/>
                <w:color w:val="auto"/>
              </w:rPr>
            </w:pPr>
          </w:p>
        </w:tc>
      </w:tr>
      <w:tr>
        <w:trPr>
          <w:trHeight w:val="45"/>
        </w:trPr>
        <w:tc>
          <w:tcPr>
            <w:tcW w:w="35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500" w:type="dxa"/>
            <w:vAlign w:val="bottom"/>
            <w:tcBorders>
              <w:top w:val="single" w:sz="8" w:color="CCEEFF"/>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Weighted average life in years</w:t>
            </w:r>
          </w:p>
        </w:tc>
        <w:tc>
          <w:tcPr>
            <w:tcW w:w="20" w:type="dxa"/>
            <w:vAlign w:val="bottom"/>
            <w:tcBorders>
              <w:top w:val="single" w:sz="8" w:color="CCEEFF"/>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auto"/>
            </w:tcBorders>
            <w:shd w:val="clear" w:color="auto" w:fill="CCEEFF"/>
          </w:tcPr>
          <w:p>
            <w:pPr>
              <w:spacing w:after="0"/>
              <w:rPr>
                <w:sz w:val="18"/>
                <w:szCs w:val="18"/>
                <w:color w:val="auto"/>
              </w:rPr>
            </w:pPr>
          </w:p>
        </w:tc>
        <w:tc>
          <w:tcPr>
            <w:tcW w:w="128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14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auto"/>
            </w:tcBorders>
            <w:shd w:val="clear" w:color="auto" w:fill="CCEEFF"/>
          </w:tcPr>
          <w:p>
            <w:pPr>
              <w:spacing w:after="0"/>
              <w:rPr>
                <w:sz w:val="18"/>
                <w:szCs w:val="18"/>
                <w:color w:val="auto"/>
              </w:rPr>
            </w:pPr>
          </w:p>
        </w:tc>
        <w:tc>
          <w:tcPr>
            <w:tcW w:w="126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10</w:t>
            </w:r>
          </w:p>
        </w:tc>
        <w:tc>
          <w:tcPr>
            <w:tcW w:w="20" w:type="dxa"/>
            <w:vAlign w:val="bottom"/>
            <w:tcBorders>
              <w:top w:val="single" w:sz="8" w:color="CCEEFF"/>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auto"/>
            </w:tcBorders>
            <w:shd w:val="clear" w:color="auto" w:fill="CCEEFF"/>
          </w:tcPr>
          <w:p>
            <w:pPr>
              <w:spacing w:after="0"/>
              <w:rPr>
                <w:sz w:val="18"/>
                <w:szCs w:val="18"/>
                <w:color w:val="auto"/>
              </w:rPr>
            </w:pPr>
          </w:p>
        </w:tc>
        <w:tc>
          <w:tcPr>
            <w:tcW w:w="1300" w:type="dxa"/>
            <w:vAlign w:val="bottom"/>
            <w:tcBorders>
              <w:top w:val="single" w:sz="8" w:color="CCEEFF"/>
              <w:bottom w:val="single" w:sz="8" w:color="auto"/>
            </w:tcBorders>
            <w:gridSpan w:val="2"/>
            <w:shd w:val="clear" w:color="auto" w:fill="CCEEFF"/>
          </w:tcPr>
          <w:p>
            <w:pPr>
              <w:jc w:val="right"/>
              <w:ind w:right="20"/>
              <w:spacing w:after="0" w:line="190" w:lineRule="exact"/>
              <w:rPr>
                <w:sz w:val="20"/>
                <w:szCs w:val="20"/>
                <w:color w:val="auto"/>
              </w:rPr>
            </w:pPr>
            <w:r>
              <w:rPr>
                <w:rFonts w:ascii="Arial" w:cs="Arial" w:eastAsia="Arial" w:hAnsi="Arial"/>
                <w:sz w:val="18"/>
                <w:szCs w:val="18"/>
                <w:color w:val="auto"/>
              </w:rPr>
              <w:t>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auto"/>
            </w:tcBorders>
            <w:shd w:val="clear" w:color="auto" w:fill="CCEEFF"/>
          </w:tcPr>
          <w:p>
            <w:pPr>
              <w:spacing w:after="0"/>
              <w:rPr>
                <w:sz w:val="18"/>
                <w:szCs w:val="18"/>
                <w:color w:val="auto"/>
              </w:rPr>
            </w:pPr>
          </w:p>
        </w:tc>
        <w:tc>
          <w:tcPr>
            <w:tcW w:w="1300" w:type="dxa"/>
            <w:vAlign w:val="bottom"/>
            <w:tcBorders>
              <w:top w:val="single" w:sz="8" w:color="CCEEFF"/>
              <w:bottom w:val="single" w:sz="8" w:color="auto"/>
            </w:tcBorders>
            <w:gridSpan w:val="2"/>
            <w:shd w:val="clear" w:color="auto" w:fill="CCEEFF"/>
          </w:tcPr>
          <w:p>
            <w:pPr>
              <w:ind w:left="980"/>
              <w:spacing w:after="0" w:line="190" w:lineRule="exact"/>
              <w:rPr>
                <w:sz w:val="20"/>
                <w:szCs w:val="20"/>
                <w:color w:val="auto"/>
              </w:rPr>
            </w:pPr>
            <w:r>
              <w:rPr>
                <w:rFonts w:ascii="Arial" w:cs="Arial" w:eastAsia="Arial" w:hAnsi="Arial"/>
                <w:sz w:val="18"/>
                <w:szCs w:val="18"/>
                <w:color w:val="auto"/>
                <w:w w:val="99"/>
              </w:rPr>
              <w:t>N/A</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of December 26, 2025</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350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w:t>
            </w:r>
          </w:p>
        </w:tc>
        <w:tc>
          <w:tcPr>
            <w:tcW w:w="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107,034</w:t>
            </w:r>
          </w:p>
        </w:tc>
        <w:tc>
          <w:tcPr>
            <w:tcW w:w="2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473,086</w:t>
            </w: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Accumulated amortization</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(165,150)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(177,826)</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w:t>
            </w: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8,591</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Arial" w:cs="Arial" w:eastAsia="Arial" w:hAnsi="Arial"/>
                <w:sz w:val="18"/>
                <w:szCs w:val="18"/>
                <w:color w:val="auto"/>
              </w:rPr>
              <w:t>Book value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150,935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35,119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2,813</w:t>
            </w:r>
          </w:p>
        </w:tc>
        <w:tc>
          <w:tcPr>
            <w:tcW w:w="20" w:type="dxa"/>
            <w:vAlign w:val="bottom"/>
          </w:tcPr>
          <w:p>
            <w:pPr>
              <w:spacing w:after="0"/>
              <w:rPr>
                <w:sz w:val="19"/>
                <w:szCs w:val="19"/>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114,984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303,851</w:t>
            </w:r>
          </w:p>
        </w:tc>
        <w:tc>
          <w:tcPr>
            <w:tcW w:w="0" w:type="dxa"/>
            <w:vAlign w:val="bottom"/>
          </w:tcPr>
          <w:p>
            <w:pPr>
              <w:spacing w:after="0"/>
              <w:rPr>
                <w:sz w:val="1"/>
                <w:szCs w:val="1"/>
                <w:color w:val="auto"/>
              </w:rPr>
            </w:pPr>
          </w:p>
        </w:tc>
      </w:tr>
      <w:tr>
        <w:trPr>
          <w:trHeight w:val="45"/>
        </w:trPr>
        <w:tc>
          <w:tcPr>
            <w:tcW w:w="35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500" w:type="dxa"/>
            <w:vAlign w:val="bottom"/>
            <w:tcBorders>
              <w:top w:val="single" w:sz="8" w:color="CCEEFF"/>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Weighted average life in years</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auto"/>
            </w:tcBorders>
            <w:shd w:val="clear" w:color="auto" w:fill="CCEEFF"/>
          </w:tcPr>
          <w:p>
            <w:pPr>
              <w:spacing w:after="0"/>
              <w:rPr>
                <w:sz w:val="18"/>
                <w:szCs w:val="18"/>
                <w:color w:val="auto"/>
              </w:rPr>
            </w:pPr>
          </w:p>
        </w:tc>
        <w:tc>
          <w:tcPr>
            <w:tcW w:w="128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13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auto"/>
            </w:tcBorders>
            <w:shd w:val="clear" w:color="auto" w:fill="CCEEFF"/>
          </w:tcPr>
          <w:p>
            <w:pPr>
              <w:spacing w:after="0"/>
              <w:rPr>
                <w:sz w:val="18"/>
                <w:szCs w:val="18"/>
                <w:color w:val="auto"/>
              </w:rPr>
            </w:pPr>
          </w:p>
        </w:tc>
        <w:tc>
          <w:tcPr>
            <w:tcW w:w="126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10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auto"/>
            </w:tcBorders>
            <w:shd w:val="clear" w:color="auto" w:fill="CCEEFF"/>
          </w:tcPr>
          <w:p>
            <w:pPr>
              <w:spacing w:after="0"/>
              <w:rPr>
                <w:sz w:val="18"/>
                <w:szCs w:val="18"/>
                <w:color w:val="auto"/>
              </w:rPr>
            </w:pPr>
          </w:p>
        </w:tc>
        <w:tc>
          <w:tcPr>
            <w:tcW w:w="128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auto"/>
            </w:tcBorders>
            <w:shd w:val="clear" w:color="auto" w:fill="CCEEFF"/>
          </w:tcPr>
          <w:p>
            <w:pPr>
              <w:spacing w:after="0"/>
              <w:rPr>
                <w:sz w:val="18"/>
                <w:szCs w:val="18"/>
                <w:color w:val="auto"/>
              </w:rPr>
            </w:pPr>
          </w:p>
        </w:tc>
        <w:tc>
          <w:tcPr>
            <w:tcW w:w="128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N/A</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Amortization of intangibles for the year to date was $8 million in 2026 and $7 million in 2025. Estimated annual amortization expense based on the current carrying amount of other intangible assets is as follows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restart"/>
          </w:tcPr>
          <w:p>
            <w:pPr>
              <w:jc w:val="right"/>
              <w:ind w:right="270"/>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restart"/>
          </w:tcPr>
          <w:p>
            <w:pPr>
              <w:jc w:val="right"/>
              <w:ind w:right="270"/>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restart"/>
          </w:tcPr>
          <w:p>
            <w:pPr>
              <w:jc w:val="right"/>
              <w:ind w:right="290"/>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restart"/>
          </w:tcPr>
          <w:p>
            <w:pPr>
              <w:jc w:val="right"/>
              <w:ind w:right="290"/>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restart"/>
          </w:tcPr>
          <w:p>
            <w:pPr>
              <w:jc w:val="right"/>
              <w:ind w:right="70"/>
              <w:spacing w:after="0"/>
              <w:rPr>
                <w:sz w:val="20"/>
                <w:szCs w:val="20"/>
                <w:color w:val="auto"/>
              </w:rPr>
            </w:pPr>
            <w:r>
              <w:rPr>
                <w:rFonts w:ascii="Arial" w:cs="Arial" w:eastAsia="Arial" w:hAnsi="Arial"/>
                <w:sz w:val="18"/>
                <w:szCs w:val="18"/>
                <w:color w:val="auto"/>
                <w:w w:val="98"/>
              </w:rPr>
              <w:t>Thereafter</w:t>
            </w:r>
          </w:p>
        </w:tc>
        <w:tc>
          <w:tcPr>
            <w:tcW w:w="0" w:type="dxa"/>
            <w:vAlign w:val="bottom"/>
          </w:tcPr>
          <w:p>
            <w:pPr>
              <w:spacing w:after="0"/>
              <w:rPr>
                <w:sz w:val="1"/>
                <w:szCs w:val="1"/>
                <w:color w:val="auto"/>
              </w:rPr>
            </w:pPr>
          </w:p>
        </w:tc>
      </w:tr>
      <w:tr>
        <w:trPr>
          <w:trHeight w:val="235"/>
        </w:trPr>
        <w:tc>
          <w:tcPr>
            <w:tcW w:w="3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(Remainder)</w:t>
            </w:r>
          </w:p>
        </w:tc>
        <w:tc>
          <w:tcPr>
            <w:tcW w:w="2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Amortization Expense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91,353</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each reportable segment were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ind w:left="120"/>
              <w:spacing w:after="0"/>
              <w:rPr>
                <w:sz w:val="20"/>
                <w:szCs w:val="20"/>
                <w:color w:val="auto"/>
              </w:rPr>
            </w:pPr>
            <w:r>
              <w:rPr>
                <w:rFonts w:ascii="Arial" w:cs="Arial" w:eastAsia="Arial" w:hAnsi="Arial"/>
                <w:sz w:val="18"/>
                <w:szCs w:val="18"/>
                <w:color w:val="auto"/>
              </w:rPr>
              <w:t>Contractor</w:t>
            </w:r>
          </w:p>
        </w:tc>
        <w:tc>
          <w:tcPr>
            <w:tcW w:w="26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color w:val="auto"/>
              </w:rPr>
              <w:t>Industrial</w:t>
            </w:r>
          </w:p>
        </w:tc>
        <w:tc>
          <w:tcPr>
            <w:tcW w:w="1660" w:type="dxa"/>
            <w:vAlign w:val="bottom"/>
            <w:gridSpan w:val="3"/>
          </w:tcPr>
          <w:p>
            <w:pPr>
              <w:ind w:left="20"/>
              <w:spacing w:after="0"/>
              <w:rPr>
                <w:sz w:val="20"/>
                <w:szCs w:val="20"/>
                <w:color w:val="auto"/>
              </w:rPr>
            </w:pPr>
            <w:r>
              <w:rPr>
                <w:rFonts w:ascii="Arial" w:cs="Arial" w:eastAsia="Arial" w:hAnsi="Arial"/>
                <w:sz w:val="18"/>
                <w:szCs w:val="18"/>
                <w:color w:val="auto"/>
              </w:rPr>
              <w:t>Expansion Markets</w:t>
            </w: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Total</w:t>
            </w: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26, 2025</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238,575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275,263</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71,466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585,304</w:t>
            </w:r>
          </w:p>
        </w:tc>
      </w:tr>
      <w:tr>
        <w:trPr>
          <w:trHeight w:val="230"/>
        </w:trPr>
        <w:tc>
          <w:tcPr>
            <w:tcW w:w="4620" w:type="dxa"/>
            <w:vAlign w:val="bottom"/>
          </w:tcPr>
          <w:p>
            <w:pPr>
              <w:ind w:left="140"/>
              <w:spacing w:after="0"/>
              <w:rPr>
                <w:sz w:val="20"/>
                <w:szCs w:val="20"/>
                <w:color w:val="auto"/>
              </w:rPr>
            </w:pPr>
            <w:r>
              <w:rPr>
                <w:rFonts w:ascii="Arial" w:cs="Arial" w:eastAsia="Arial" w:hAnsi="Arial"/>
                <w:sz w:val="18"/>
                <w:szCs w:val="18"/>
                <w:color w:val="auto"/>
              </w:rPr>
              <w:t>Adjustments from business acquisitions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29"/>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w:t>
            </w: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Balance, March 27, 2026</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235,661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273,831</w:t>
            </w: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71,466</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580,958</w:t>
            </w:r>
          </w:p>
        </w:tc>
      </w:tr>
      <w:tr>
        <w:trPr>
          <w:trHeight w:val="20"/>
        </w:trPr>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980" w:type="dxa"/>
            <w:vAlign w:val="bottom"/>
          </w:tcPr>
          <w:p>
            <w:pPr>
              <w:spacing w:after="0"/>
              <w:rPr>
                <w:sz w:val="20"/>
                <w:szCs w:val="20"/>
                <w:color w:val="auto"/>
              </w:rPr>
            </w:pPr>
            <w:r>
              <w:rPr>
                <w:rFonts w:ascii="Arial" w:cs="Arial" w:eastAsia="Arial" w:hAnsi="Arial"/>
                <w:sz w:val="18"/>
                <w:szCs w:val="18"/>
                <w:b w:val="1"/>
                <w:bCs w:val="1"/>
                <w:color w:val="auto"/>
              </w:rPr>
              <w:t>9. Other Current Liabilities</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316"/>
        </w:trPr>
        <w:tc>
          <w:tcPr>
            <w:tcW w:w="7980" w:type="dxa"/>
            <w:vAlign w:val="bottom"/>
          </w:tcPr>
          <w:p>
            <w:pPr>
              <w:spacing w:after="0"/>
              <w:rPr>
                <w:sz w:val="20"/>
                <w:szCs w:val="20"/>
                <w:color w:val="auto"/>
              </w:rPr>
            </w:pPr>
            <w:r>
              <w:rPr>
                <w:rFonts w:ascii="Arial" w:cs="Arial" w:eastAsia="Arial" w:hAnsi="Arial"/>
                <w:sz w:val="18"/>
                <w:szCs w:val="18"/>
                <w:color w:val="auto"/>
              </w:rPr>
              <w:t>Components of other current liabilities were as follows (in thousands):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98"/>
        </w:trPr>
        <w:tc>
          <w:tcPr>
            <w:tcW w:w="7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ind w:left="140"/>
              <w:spacing w:after="0" w:line="199" w:lineRule="exact"/>
              <w:rPr>
                <w:sz w:val="20"/>
                <w:szCs w:val="20"/>
                <w:color w:val="auto"/>
              </w:rPr>
            </w:pPr>
            <w:r>
              <w:rPr>
                <w:rFonts w:ascii="Arial" w:cs="Arial" w:eastAsia="Arial" w:hAnsi="Arial"/>
                <w:sz w:val="18"/>
                <w:szCs w:val="18"/>
                <w:color w:val="auto"/>
              </w:rPr>
              <w:t>March 27,</w:t>
            </w:r>
          </w:p>
        </w:tc>
        <w:tc>
          <w:tcPr>
            <w:tcW w:w="180" w:type="dxa"/>
            <w:vAlign w:val="bottom"/>
          </w:tcPr>
          <w:p>
            <w:pPr>
              <w:spacing w:after="0"/>
              <w:rPr>
                <w:sz w:val="17"/>
                <w:szCs w:val="17"/>
                <w:color w:val="auto"/>
              </w:rPr>
            </w:pPr>
          </w:p>
        </w:tc>
        <w:tc>
          <w:tcPr>
            <w:tcW w:w="1400" w:type="dxa"/>
            <w:vAlign w:val="bottom"/>
          </w:tcPr>
          <w:p>
            <w:pPr>
              <w:jc w:val="right"/>
              <w:ind w:right="130"/>
              <w:spacing w:after="0" w:line="199" w:lineRule="exact"/>
              <w:rPr>
                <w:sz w:val="20"/>
                <w:szCs w:val="20"/>
                <w:color w:val="auto"/>
              </w:rPr>
            </w:pPr>
            <w:r>
              <w:rPr>
                <w:rFonts w:ascii="Arial" w:cs="Arial" w:eastAsia="Arial" w:hAnsi="Arial"/>
                <w:sz w:val="18"/>
                <w:szCs w:val="18"/>
                <w:color w:val="auto"/>
              </w:rPr>
              <w:t>December 26,</w:t>
            </w:r>
          </w:p>
        </w:tc>
      </w:tr>
      <w:tr>
        <w:trPr>
          <w:trHeight w:val="241"/>
        </w:trPr>
        <w:tc>
          <w:tcPr>
            <w:tcW w:w="7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2025</w:t>
            </w:r>
          </w:p>
        </w:tc>
      </w:tr>
      <w:tr>
        <w:trPr>
          <w:trHeight w:val="22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self-insurance retentions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8,013</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Accrued warranty and service liabilities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20,954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21,103</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trade promotions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7,511</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Payable for employee stock purchases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15,546</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advances and deferred revenue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93,995</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21,554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15,493</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payable, other</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14,693</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Right of return refund liability</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14,440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15,055</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current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8,769</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41,689</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241,867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liability is established for estimated future warranty and service claims that relate to current and prior period sales. The Company estimates warranty costs based on historical claim experience and other factors, including evaluating specific product warranty issues. Following is a summary of activity in accrued warranty and service liabilities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26, 2025</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21,103</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Charged to expense</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2,273</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Margin on parts sales reversed</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r>
      <w:tr>
        <w:trPr>
          <w:trHeight w:val="22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Reductions for claims settled</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(3,384)</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27, 2026</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20,954</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 Advances and Deferred Revenue</w:t>
      </w:r>
    </w:p>
    <w:p>
      <w:pPr>
        <w:spacing w:after="0" w:line="25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Revenue is deferred when cash payments are received or due in advance of performance, including amounts which are refundable. This is also the case for services associated with certain product sales. During the three months ended March 27, 2026, we recognized $35 million that was included in deferred revenue at December 26, 2025. During the three months ended March 28, 2025, we recognized $30 million that was included in deferred revenue at December 27, 2024.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and fair value measurement level were as follows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rPr>
              <w:t>Level</w:t>
            </w:r>
          </w:p>
        </w:tc>
        <w:tc>
          <w:tcPr>
            <w:tcW w:w="24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rPr>
              <w:t>March 27,</w:t>
            </w:r>
          </w:p>
        </w:tc>
        <w:tc>
          <w:tcPr>
            <w:tcW w:w="180" w:type="dxa"/>
            <w:vAlign w:val="bottom"/>
          </w:tcPr>
          <w:p>
            <w:pPr>
              <w:spacing w:after="0"/>
              <w:rPr>
                <w:sz w:val="18"/>
                <w:szCs w:val="18"/>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December 26,</w:t>
            </w:r>
          </w:p>
        </w:tc>
        <w:tc>
          <w:tcPr>
            <w:tcW w:w="0" w:type="dxa"/>
            <w:vAlign w:val="bottom"/>
          </w:tcPr>
          <w:p>
            <w:pPr>
              <w:spacing w:after="0"/>
              <w:rPr>
                <w:sz w:val="1"/>
                <w:szCs w:val="1"/>
                <w:color w:val="auto"/>
              </w:rPr>
            </w:pPr>
          </w:p>
        </w:tc>
      </w:tr>
      <w:tr>
        <w:trPr>
          <w:trHeight w:val="243"/>
        </w:trPr>
        <w:tc>
          <w:tcPr>
            <w:tcW w:w="682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51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09"/>
        </w:trPr>
        <w:tc>
          <w:tcPr>
            <w:tcW w:w="68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Cash surrender value of life insurance</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27,682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28,893</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Forward exchange contracts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20" w:type="dxa"/>
            <w:vAlign w:val="bottom"/>
          </w:tcPr>
          <w:p>
            <w:pPr>
              <w:ind w:left="180"/>
              <w:spacing w:after="0"/>
              <w:rPr>
                <w:sz w:val="20"/>
                <w:szCs w:val="20"/>
                <w:color w:val="auto"/>
              </w:rPr>
            </w:pPr>
            <w:r>
              <w:rPr>
                <w:rFonts w:ascii="Arial" w:cs="Arial" w:eastAsia="Arial" w:hAnsi="Arial"/>
                <w:sz w:val="18"/>
                <w:szCs w:val="18"/>
                <w:color w:val="auto"/>
              </w:rPr>
              <w:t>Total assets at fair value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28,893</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Liabilities</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color w:val="auto"/>
              </w:rPr>
              <w:t>Contingent consideration</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compensation</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8,336</w:t>
            </w:r>
          </w:p>
        </w:tc>
        <w:tc>
          <w:tcPr>
            <w:tcW w:w="0" w:type="dxa"/>
            <w:vAlign w:val="bottom"/>
          </w:tcPr>
          <w:p>
            <w:pPr>
              <w:spacing w:after="0"/>
              <w:rPr>
                <w:sz w:val="1"/>
                <w:szCs w:val="1"/>
                <w:color w:val="auto"/>
              </w:rPr>
            </w:pP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Forward exchange contracts</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48"/>
        </w:trPr>
        <w:tc>
          <w:tcPr>
            <w:tcW w:w="68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at fair value</w:t>
            </w:r>
          </w:p>
        </w:tc>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10,253</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7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Contracts insuring the lives of certain employees who are eligible to participate in certain non-qualified pension and deferred compensation plans are held in trust. Cash surrender value of the contracts is based on performance measurement funds that shadow the deferral investment allocations made by participants in certain deferred compensation plans. The deferred compensation liability balances are valued based on amounts allocated by participants to the underlying performance measurement funds.</w:t>
      </w:r>
    </w:p>
    <w:p>
      <w:pPr>
        <w:spacing w:after="0" w:line="20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Contingent consideration liabilities represent the estimated value (using a probability-weighted expected return approach) of future payments to be made to previous owners of certain acquired businesses based on future revenues.</w:t>
      </w:r>
    </w:p>
    <w:p>
      <w:pPr>
        <w:spacing w:after="0" w:line="18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fair value of variable rate borrowings approximates carrying value. The Company uses significant other observable inputs to estimate fair value (level 2 of the fair value hierarchy) based on the present value of future cash flows and rates that would be available for issuance of debt with similar terms and remaining maturities.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2. GRACO INC. AND SUBSIDIARIES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CONDITION AND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supplies technology and expertise for the management of fluids and coatings in both industrial and commercial applications. It designs, manufactures and markets systems and equipment to move, measure, control, dispense and spray fluid and coating materials. Management classifies the Company’s business into three reportable segments: Contractor, Industrial and Expansion Markets. Key strategies include developing and marketing new products, leveraging products and technologies into additional, growing end-user markets, expanding distribution globally and completing strategic acquisitions that provide additional channels and technologies.</w:t>
      </w:r>
    </w:p>
    <w:p>
      <w:pPr>
        <w:spacing w:after="0" w:line="20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following Management’s Discussion and Analysis reviews significant factors affecting the Company’s results of operations and financial condition. This discussion should be read in conjunction with the financial statements and the accompanying notes to the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financial results follows (in millions except per share amounts):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Three Months Ended</w:t>
            </w:r>
          </w:p>
        </w:tc>
        <w:tc>
          <w:tcPr>
            <w:tcW w:w="1420" w:type="dxa"/>
            <w:vAlign w:val="bottom"/>
            <w:tcBorders>
              <w:bottom w:val="single" w:sz="8" w:color="auto"/>
            </w:tcBorders>
          </w:tcPr>
          <w:p>
            <w:pPr>
              <w:spacing w:after="0"/>
              <w:rPr>
                <w:sz w:val="20"/>
                <w:szCs w:val="20"/>
                <w:color w:val="auto"/>
              </w:rPr>
            </w:pPr>
          </w:p>
        </w:tc>
      </w:tr>
      <w:tr>
        <w:trPr>
          <w:trHeight w:val="177"/>
        </w:trPr>
        <w:tc>
          <w:tcPr>
            <w:tcW w:w="6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gridSpan w:val="2"/>
          </w:tcPr>
          <w:p>
            <w:pPr>
              <w:ind w:left="160"/>
              <w:spacing w:after="0" w:line="177" w:lineRule="exact"/>
              <w:rPr>
                <w:sz w:val="20"/>
                <w:szCs w:val="20"/>
                <w:color w:val="auto"/>
              </w:rPr>
            </w:pPr>
            <w:r>
              <w:rPr>
                <w:rFonts w:ascii="Arial" w:cs="Arial" w:eastAsia="Arial" w:hAnsi="Arial"/>
                <w:sz w:val="18"/>
                <w:szCs w:val="18"/>
                <w:color w:val="auto"/>
              </w:rPr>
              <w:t>Mar 27,</w:t>
            </w:r>
          </w:p>
        </w:tc>
        <w:tc>
          <w:tcPr>
            <w:tcW w:w="300" w:type="dxa"/>
            <w:vAlign w:val="bottom"/>
          </w:tcPr>
          <w:p>
            <w:pPr>
              <w:spacing w:after="0"/>
              <w:rPr>
                <w:sz w:val="15"/>
                <w:szCs w:val="15"/>
                <w:color w:val="auto"/>
              </w:rPr>
            </w:pPr>
          </w:p>
        </w:tc>
        <w:tc>
          <w:tcPr>
            <w:tcW w:w="1660" w:type="dxa"/>
            <w:vAlign w:val="bottom"/>
            <w:gridSpan w:val="3"/>
          </w:tcPr>
          <w:p>
            <w:pPr>
              <w:ind w:left="160"/>
              <w:spacing w:after="0" w:line="177" w:lineRule="exact"/>
              <w:rPr>
                <w:sz w:val="20"/>
                <w:szCs w:val="20"/>
                <w:color w:val="auto"/>
              </w:rPr>
            </w:pPr>
            <w:r>
              <w:rPr>
                <w:rFonts w:ascii="Arial" w:cs="Arial" w:eastAsia="Arial" w:hAnsi="Arial"/>
                <w:sz w:val="18"/>
                <w:szCs w:val="18"/>
                <w:color w:val="auto"/>
              </w:rPr>
              <w:t>Mar 28,</w:t>
            </w:r>
          </w:p>
        </w:tc>
        <w:tc>
          <w:tcPr>
            <w:tcW w:w="1420" w:type="dxa"/>
            <w:vAlign w:val="bottom"/>
          </w:tcPr>
          <w:p>
            <w:pPr>
              <w:jc w:val="right"/>
              <w:ind w:right="690"/>
              <w:spacing w:after="0" w:line="177" w:lineRule="exact"/>
              <w:rPr>
                <w:sz w:val="20"/>
                <w:szCs w:val="20"/>
                <w:color w:val="auto"/>
              </w:rPr>
            </w:pPr>
            <w:r>
              <w:rPr>
                <w:rFonts w:ascii="Arial" w:cs="Arial" w:eastAsia="Arial" w:hAnsi="Arial"/>
                <w:sz w:val="18"/>
                <w:szCs w:val="18"/>
                <w:color w:val="auto"/>
              </w:rPr>
              <w:t>%</w:t>
            </w:r>
          </w:p>
        </w:tc>
      </w:tr>
      <w:tr>
        <w:trPr>
          <w:trHeight w:val="235"/>
        </w:trPr>
        <w:tc>
          <w:tcPr>
            <w:tcW w:w="61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2026</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Change</w:t>
            </w:r>
          </w:p>
        </w:tc>
      </w:tr>
      <w:tr>
        <w:trPr>
          <w:trHeight w:val="22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Operating Earnings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1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Net Earnings, adjusted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Earnings per Common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316"/>
        </w:trPr>
        <w:tc>
          <w:tcPr>
            <w:tcW w:w="6180" w:type="dxa"/>
            <w:vAlign w:val="bottom"/>
          </w:tcPr>
          <w:p>
            <w:pPr>
              <w:ind w:left="20"/>
              <w:spacing w:after="0"/>
              <w:rPr>
                <w:sz w:val="20"/>
                <w:szCs w:val="20"/>
                <w:color w:val="auto"/>
              </w:rPr>
            </w:pPr>
            <w:r>
              <w:rPr>
                <w:rFonts w:ascii="Arial" w:cs="Arial" w:eastAsia="Arial" w:hAnsi="Arial"/>
                <w:sz w:val="18"/>
                <w:szCs w:val="18"/>
                <w:color w:val="auto"/>
              </w:rPr>
              <w:t xml:space="preserve">Diluted Net Earnings per Common Share, adjusted </w:t>
            </w:r>
            <w:r>
              <w:rPr>
                <w:rFonts w:ascii="Arial" w:cs="Arial" w:eastAsia="Arial" w:hAnsi="Arial"/>
                <w:sz w:val="23"/>
                <w:szCs w:val="23"/>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0.66</w:t>
            </w:r>
          </w:p>
        </w:tc>
        <w:tc>
          <w:tcPr>
            <w:tcW w:w="12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(1) See below for a reconciliation of adjusted non-GAAP financial measures to GAAP.</w:t>
      </w:r>
    </w:p>
    <w:p>
      <w:pPr>
        <w:spacing w:after="0" w:line="12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Net sales for the first quarter increased 2 percent, with 5 percentage points of sales growth from acquired operations and 3 percentage points of sales growth from the effects of changes in currency translation rates. Sales growth for the quarter was partially offset by a 6 percentage point organic decline.</w:t>
      </w:r>
    </w:p>
    <w:p>
      <w:pPr>
        <w:spacing w:after="0" w:line="6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gross margin rate was lower than the first quarter last year, primarily due to unfavorable product and channel mix and lower margin rates of acquired operations. Price realization was able to mostly offset the impact of incremental tariffs of $7 million.</w:t>
      </w:r>
    </w:p>
    <w:p>
      <w:pPr>
        <w:spacing w:after="0" w:line="4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Operating expenses increased 7 percent, including 4 percentage points from acquired operations and 3 percentage points from the effects of currency translation.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Operating earnings decreased 4 percent, due to a lower gross margin rate and increased expenses.</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Net earnings decreased 5 percent for the first quarter. Adjusted net earnings decreased 7 percent, driven by lower operating earnings and a prior year gain from the sale of a former manufacturing and distribution facility in Switzerland that did not repeat.</w:t>
      </w:r>
    </w:p>
    <w:p>
      <w:pPr>
        <w:spacing w:after="0" w:line="4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Excluding the impact of excess tax benefits from stock option exercises presents a more consistent basis for comparison of financial results. A calculation of the non-GAAP adjusted measurements of earnings before income taxes, income taxes, effective income tax rate, net earnings and diluted earnings per share follows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color w:val="auto"/>
              </w:rPr>
              <w:t>Three Months Ended</w:t>
            </w:r>
          </w:p>
        </w:tc>
      </w:tr>
      <w:tr>
        <w:trPr>
          <w:trHeight w:val="169"/>
        </w:trPr>
        <w:tc>
          <w:tcPr>
            <w:tcW w:w="7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tcPr>
          <w:p>
            <w:pPr>
              <w:ind w:left="160"/>
              <w:spacing w:after="0" w:line="169" w:lineRule="exact"/>
              <w:rPr>
                <w:sz w:val="20"/>
                <w:szCs w:val="20"/>
                <w:color w:val="auto"/>
              </w:rPr>
            </w:pPr>
            <w:r>
              <w:rPr>
                <w:rFonts w:ascii="Arial" w:cs="Arial" w:eastAsia="Arial" w:hAnsi="Arial"/>
                <w:sz w:val="18"/>
                <w:szCs w:val="18"/>
                <w:color w:val="auto"/>
              </w:rPr>
              <w:t>March 27,</w:t>
            </w:r>
          </w:p>
        </w:tc>
        <w:tc>
          <w:tcPr>
            <w:tcW w:w="280" w:type="dxa"/>
            <w:vAlign w:val="bottom"/>
          </w:tcPr>
          <w:p>
            <w:pPr>
              <w:spacing w:after="0"/>
              <w:rPr>
                <w:sz w:val="14"/>
                <w:szCs w:val="14"/>
                <w:color w:val="auto"/>
              </w:rPr>
            </w:pPr>
          </w:p>
        </w:tc>
        <w:tc>
          <w:tcPr>
            <w:tcW w:w="1420" w:type="dxa"/>
            <w:vAlign w:val="bottom"/>
          </w:tcPr>
          <w:p>
            <w:pPr>
              <w:jc w:val="right"/>
              <w:ind w:right="370"/>
              <w:spacing w:after="0" w:line="169" w:lineRule="exact"/>
              <w:rPr>
                <w:sz w:val="20"/>
                <w:szCs w:val="20"/>
                <w:color w:val="auto"/>
              </w:rPr>
            </w:pPr>
            <w:r>
              <w:rPr>
                <w:rFonts w:ascii="Arial" w:cs="Arial" w:eastAsia="Arial" w:hAnsi="Arial"/>
                <w:sz w:val="18"/>
                <w:szCs w:val="18"/>
                <w:color w:val="auto"/>
              </w:rPr>
              <w:t>March 28,</w:t>
            </w:r>
          </w:p>
        </w:tc>
      </w:tr>
      <w:tr>
        <w:trPr>
          <w:trHeight w:val="241"/>
        </w:trPr>
        <w:tc>
          <w:tcPr>
            <w:tcW w:w="77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2025</w:t>
            </w:r>
          </w:p>
        </w:tc>
      </w:tr>
      <w:tr>
        <w:trPr>
          <w:trHeight w:val="223"/>
        </w:trPr>
        <w:tc>
          <w:tcPr>
            <w:tcW w:w="7720" w:type="dxa"/>
            <w:vAlign w:val="bottom"/>
            <w:tcBorders>
              <w:bottom w:val="single" w:sz="8" w:color="CCEEFF"/>
            </w:tcBorders>
            <w:shd w:val="clear" w:color="auto" w:fill="CCEEFF"/>
          </w:tcPr>
          <w:p>
            <w:pPr>
              <w:ind w:left="20"/>
              <w:spacing w:after="0" w:line="198" w:lineRule="exact"/>
              <w:rPr>
                <w:sz w:val="20"/>
                <w:szCs w:val="20"/>
                <w:color w:val="auto"/>
              </w:rPr>
            </w:pPr>
            <w:r>
              <w:rPr>
                <w:rFonts w:ascii="Arial" w:cs="Arial" w:eastAsia="Arial" w:hAnsi="Arial"/>
                <w:sz w:val="18"/>
                <w:szCs w:val="18"/>
                <w:color w:val="auto"/>
              </w:rPr>
              <w:t>Earnings before income taxes</w:t>
            </w:r>
          </w:p>
        </w:tc>
        <w:tc>
          <w:tcPr>
            <w:tcW w:w="300" w:type="dxa"/>
            <w:vAlign w:val="bottom"/>
            <w:tcBorders>
              <w:bottom w:val="single" w:sz="8" w:color="auto"/>
            </w:tcBorders>
            <w:shd w:val="clear" w:color="auto" w:fill="CCEEFF"/>
          </w:tcPr>
          <w:p>
            <w:pPr>
              <w:jc w:val="right"/>
              <w:ind w:right="90"/>
              <w:spacing w:after="0" w:line="198"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50"/>
              <w:spacing w:after="0" w:line="198" w:lineRule="exact"/>
              <w:rPr>
                <w:sz w:val="20"/>
                <w:szCs w:val="20"/>
                <w:color w:val="auto"/>
              </w:rPr>
            </w:pPr>
            <w:r>
              <w:rPr>
                <w:rFonts w:ascii="Arial" w:cs="Arial" w:eastAsia="Arial" w:hAnsi="Arial"/>
                <w:sz w:val="18"/>
                <w:szCs w:val="18"/>
                <w:color w:val="auto"/>
              </w:rPr>
              <w:t>140.1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0"/>
              <w:spacing w:after="0" w:line="198"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50"/>
              <w:spacing w:after="0" w:line="198" w:lineRule="exact"/>
              <w:rPr>
                <w:sz w:val="20"/>
                <w:szCs w:val="20"/>
                <w:color w:val="auto"/>
              </w:rPr>
            </w:pPr>
            <w:r>
              <w:rPr>
                <w:rFonts w:ascii="Arial" w:cs="Arial" w:eastAsia="Arial" w:hAnsi="Arial"/>
                <w:sz w:val="18"/>
                <w:szCs w:val="18"/>
                <w:color w:val="auto"/>
              </w:rPr>
              <w:t>151.5</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as reported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27.4</w:t>
            </w:r>
          </w:p>
        </w:tc>
      </w:tr>
      <w:tr>
        <w:trPr>
          <w:trHeight w:val="229"/>
        </w:trPr>
        <w:tc>
          <w:tcPr>
            <w:tcW w:w="7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Excess tax benefit from option exercises</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3.6</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 adjusted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31.0</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7720" w:type="dxa"/>
            <w:vAlign w:val="bottom"/>
          </w:tcPr>
          <w:p>
            <w:pPr>
              <w:ind w:left="160"/>
              <w:spacing w:after="0"/>
              <w:rPr>
                <w:sz w:val="20"/>
                <w:szCs w:val="20"/>
                <w:color w:val="auto"/>
              </w:rPr>
            </w:pPr>
            <w:r>
              <w:rPr>
                <w:rFonts w:ascii="Arial" w:cs="Arial" w:eastAsia="Arial" w:hAnsi="Arial"/>
                <w:sz w:val="18"/>
                <w:szCs w:val="18"/>
                <w:color w:val="auto"/>
              </w:rPr>
              <w:t>As reported</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18.1 %</w:t>
            </w:r>
          </w:p>
        </w:tc>
      </w:tr>
      <w:tr>
        <w:trPr>
          <w:trHeight w:val="230"/>
        </w:trPr>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Adjusted</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20.5 %</w:t>
            </w:r>
          </w:p>
        </w:tc>
      </w:tr>
      <w:tr>
        <w:trPr>
          <w:trHeight w:val="270"/>
        </w:trPr>
        <w:tc>
          <w:tcPr>
            <w:tcW w:w="7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as reported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124.1</w:t>
            </w:r>
          </w:p>
        </w:tc>
      </w:tr>
      <w:tr>
        <w:trPr>
          <w:trHeight w:val="229"/>
        </w:trPr>
        <w:tc>
          <w:tcPr>
            <w:tcW w:w="7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Excess tax benefit from option exercises</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(3.6)</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adjusted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111.8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120.5</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Diluted Shares</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171.6</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As reported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0.72</w:t>
            </w:r>
          </w:p>
        </w:tc>
      </w:tr>
      <w:tr>
        <w:trPr>
          <w:trHeight w:val="239"/>
        </w:trPr>
        <w:tc>
          <w:tcPr>
            <w:tcW w:w="7720" w:type="dxa"/>
            <w:vAlign w:val="bottom"/>
          </w:tcPr>
          <w:p>
            <w:pPr>
              <w:ind w:left="280"/>
              <w:spacing w:after="0"/>
              <w:rPr>
                <w:sz w:val="20"/>
                <w:szCs w:val="20"/>
                <w:color w:val="auto"/>
              </w:rPr>
            </w:pPr>
            <w:r>
              <w:rPr>
                <w:rFonts w:ascii="Arial" w:cs="Arial" w:eastAsia="Arial" w:hAnsi="Arial"/>
                <w:sz w:val="18"/>
                <w:szCs w:val="18"/>
                <w:color w:val="auto"/>
              </w:rPr>
              <w:t>Adjusted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0.70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140" w:type="dxa"/>
            <w:vAlign w:val="bottom"/>
            <w:gridSpan w:val="4"/>
          </w:tcPr>
          <w:p>
            <w:pPr>
              <w:spacing w:after="0"/>
              <w:rPr>
                <w:sz w:val="20"/>
                <w:szCs w:val="20"/>
                <w:color w:val="auto"/>
              </w:rPr>
            </w:pPr>
            <w:r>
              <w:rPr>
                <w:rFonts w:ascii="Arial" w:cs="Arial" w:eastAsia="Arial" w:hAnsi="Arial"/>
                <w:sz w:val="18"/>
                <w:szCs w:val="18"/>
                <w:color w:val="auto"/>
              </w:rPr>
              <w:t>The following table presents an overview of components of net earnings as a percentage of net sales:</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7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right"/>
              <w:ind w:right="81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560"/>
              <w:spacing w:after="0" w:line="169" w:lineRule="exact"/>
              <w:rPr>
                <w:sz w:val="20"/>
                <w:szCs w:val="20"/>
                <w:color w:val="auto"/>
              </w:rPr>
            </w:pPr>
            <w:r>
              <w:rPr>
                <w:rFonts w:ascii="Arial" w:cs="Arial" w:eastAsia="Arial" w:hAnsi="Arial"/>
                <w:sz w:val="18"/>
                <w:szCs w:val="18"/>
                <w:color w:val="auto"/>
              </w:rPr>
              <w:t>March 27,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370"/>
              <w:spacing w:after="0" w:line="169" w:lineRule="exact"/>
              <w:rPr>
                <w:sz w:val="20"/>
                <w:szCs w:val="20"/>
                <w:color w:val="auto"/>
              </w:rPr>
            </w:pPr>
            <w:r>
              <w:rPr>
                <w:rFonts w:ascii="Arial" w:cs="Arial" w:eastAsia="Arial" w:hAnsi="Arial"/>
                <w:sz w:val="18"/>
                <w:szCs w:val="18"/>
                <w:color w:val="auto"/>
              </w:rPr>
              <w:t>March 28,</w:t>
            </w:r>
          </w:p>
        </w:tc>
        <w:tc>
          <w:tcPr>
            <w:tcW w:w="0" w:type="dxa"/>
            <w:vAlign w:val="bottom"/>
          </w:tcPr>
          <w:p>
            <w:pPr>
              <w:spacing w:after="0"/>
              <w:rPr>
                <w:sz w:val="1"/>
                <w:szCs w:val="1"/>
                <w:color w:val="auto"/>
              </w:rPr>
            </w:pPr>
          </w:p>
        </w:tc>
      </w:tr>
      <w:tr>
        <w:trPr>
          <w:trHeight w:val="241"/>
        </w:trPr>
        <w:tc>
          <w:tcPr>
            <w:tcW w:w="780" w:type="dxa"/>
            <w:vAlign w:val="bottom"/>
            <w:tcBorders>
              <w:bottom w:val="single" w:sz="8" w:color="CCEEFF"/>
            </w:tcBorders>
          </w:tcPr>
          <w:p>
            <w:pPr>
              <w:spacing w:after="0"/>
              <w:rPr>
                <w:sz w:val="20"/>
                <w:szCs w:val="20"/>
                <w:color w:val="auto"/>
              </w:rPr>
            </w:pPr>
          </w:p>
        </w:tc>
        <w:tc>
          <w:tcPr>
            <w:tcW w:w="69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25"/>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Cost of products sold</w:t>
            </w: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23"/>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30"/>
        </w:trPr>
        <w:tc>
          <w:tcPr>
            <w:tcW w:w="7740" w:type="dxa"/>
            <w:vAlign w:val="bottom"/>
            <w:gridSpan w:val="2"/>
          </w:tcPr>
          <w:p>
            <w:pPr>
              <w:ind w:left="140"/>
              <w:spacing w:after="0"/>
              <w:rPr>
                <w:sz w:val="20"/>
                <w:szCs w:val="20"/>
                <w:color w:val="auto"/>
              </w:rPr>
            </w:pPr>
            <w:r>
              <w:rPr>
                <w:rFonts w:ascii="Arial" w:cs="Arial" w:eastAsia="Arial" w:hAnsi="Arial"/>
                <w:sz w:val="18"/>
                <w:szCs w:val="18"/>
                <w:color w:val="auto"/>
              </w:rPr>
              <w:t>Product development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Selling, marketing and distribution</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9"/>
        </w:trPr>
        <w:tc>
          <w:tcPr>
            <w:tcW w:w="77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Earnings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9"/>
        </w:trPr>
        <w:tc>
          <w:tcPr>
            <w:tcW w:w="774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7740" w:type="dxa"/>
            <w:vAlign w:val="bottom"/>
            <w:gridSpan w:val="2"/>
          </w:tcPr>
          <w:p>
            <w:pPr>
              <w:ind w:left="140"/>
              <w:spacing w:after="0"/>
              <w:rPr>
                <w:sz w:val="20"/>
                <w:szCs w:val="20"/>
                <w:color w:val="auto"/>
              </w:rPr>
            </w:pPr>
            <w:r>
              <w:rPr>
                <w:rFonts w:ascii="Arial" w:cs="Arial" w:eastAsia="Arial" w:hAnsi="Arial"/>
                <w:sz w:val="18"/>
                <w:szCs w:val="18"/>
                <w:color w:val="auto"/>
              </w:rPr>
              <w:t>Earnings Before Income Taxes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Net Earnings</w:t>
            </w: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21.9 %</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23.5 %</w:t>
            </w:r>
          </w:p>
        </w:tc>
        <w:tc>
          <w:tcPr>
            <w:tcW w:w="0" w:type="dxa"/>
            <w:vAlign w:val="bottom"/>
          </w:tcPr>
          <w:p>
            <w:pPr>
              <w:spacing w:after="0"/>
              <w:rPr>
                <w:sz w:val="1"/>
                <w:szCs w:val="1"/>
                <w:color w:val="auto"/>
              </w:rPr>
            </w:pPr>
          </w:p>
        </w:tc>
      </w:tr>
      <w:tr>
        <w:trPr>
          <w:trHeight w:val="21"/>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77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7740" w:type="dxa"/>
            <w:vAlign w:val="bottom"/>
            <w:gridSpan w:val="2"/>
          </w:tcPr>
          <w:p>
            <w:pPr>
              <w:spacing w:after="0"/>
              <w:rPr>
                <w:sz w:val="20"/>
                <w:szCs w:val="20"/>
                <w:color w:val="auto"/>
              </w:rPr>
            </w:pPr>
            <w:r>
              <w:rPr>
                <w:rFonts w:ascii="Arial" w:cs="Arial" w:eastAsia="Arial" w:hAnsi="Arial"/>
                <w:sz w:val="18"/>
                <w:szCs w:val="18"/>
                <w:color w:val="auto"/>
              </w:rPr>
              <w:t>The following table presents net sales by geographic region (in millions):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7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right"/>
              <w:ind w:right="71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380"/>
              <w:spacing w:after="0" w:line="169" w:lineRule="exact"/>
              <w:rPr>
                <w:sz w:val="20"/>
                <w:szCs w:val="20"/>
                <w:color w:val="auto"/>
              </w:rPr>
            </w:pPr>
            <w:r>
              <w:rPr>
                <w:rFonts w:ascii="Arial" w:cs="Arial" w:eastAsia="Arial" w:hAnsi="Arial"/>
                <w:sz w:val="18"/>
                <w:szCs w:val="18"/>
                <w:color w:val="auto"/>
              </w:rPr>
              <w:t>March 27,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290"/>
              <w:spacing w:after="0" w:line="169" w:lineRule="exact"/>
              <w:rPr>
                <w:sz w:val="20"/>
                <w:szCs w:val="20"/>
                <w:color w:val="auto"/>
              </w:rPr>
            </w:pPr>
            <w:r>
              <w:rPr>
                <w:rFonts w:ascii="Arial" w:cs="Arial" w:eastAsia="Arial" w:hAnsi="Arial"/>
                <w:sz w:val="18"/>
                <w:szCs w:val="18"/>
                <w:color w:val="auto"/>
              </w:rPr>
              <w:t>March 28,</w:t>
            </w:r>
          </w:p>
        </w:tc>
        <w:tc>
          <w:tcPr>
            <w:tcW w:w="0" w:type="dxa"/>
            <w:vAlign w:val="bottom"/>
          </w:tcPr>
          <w:p>
            <w:pPr>
              <w:spacing w:after="0"/>
              <w:rPr>
                <w:sz w:val="1"/>
                <w:szCs w:val="1"/>
                <w:color w:val="auto"/>
              </w:rPr>
            </w:pPr>
          </w:p>
        </w:tc>
      </w:tr>
      <w:tr>
        <w:trPr>
          <w:trHeight w:val="241"/>
        </w:trPr>
        <w:tc>
          <w:tcPr>
            <w:tcW w:w="780" w:type="dxa"/>
            <w:vAlign w:val="bottom"/>
            <w:tcBorders>
              <w:bottom w:val="single" w:sz="8" w:color="CCEEFF"/>
            </w:tcBorders>
          </w:tcPr>
          <w:p>
            <w:pPr>
              <w:spacing w:after="0"/>
              <w:rPr>
                <w:sz w:val="20"/>
                <w:szCs w:val="20"/>
                <w:color w:val="auto"/>
              </w:rPr>
            </w:pPr>
          </w:p>
        </w:tc>
        <w:tc>
          <w:tcPr>
            <w:tcW w:w="69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25"/>
        </w:trPr>
        <w:tc>
          <w:tcPr>
            <w:tcW w:w="774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Americas</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0" w:type="dxa"/>
            <w:vAlign w:val="bottom"/>
          </w:tcPr>
          <w:p>
            <w:pPr>
              <w:spacing w:after="0"/>
              <w:rPr>
                <w:sz w:val="1"/>
                <w:szCs w:val="1"/>
                <w:color w:val="auto"/>
              </w:rPr>
            </w:pPr>
          </w:p>
        </w:tc>
      </w:tr>
      <w:tr>
        <w:trPr>
          <w:trHeight w:val="230"/>
        </w:trPr>
        <w:tc>
          <w:tcPr>
            <w:tcW w:w="77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EMEA</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125.6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23"/>
        </w:trPr>
        <w:tc>
          <w:tcPr>
            <w:tcW w:w="7740" w:type="dxa"/>
            <w:vAlign w:val="bottom"/>
            <w:gridSpan w:val="2"/>
          </w:tcPr>
          <w:p>
            <w:pPr>
              <w:ind w:left="140"/>
              <w:spacing w:after="0"/>
              <w:rPr>
                <w:sz w:val="20"/>
                <w:szCs w:val="20"/>
                <w:color w:val="auto"/>
              </w:rPr>
            </w:pPr>
            <w:r>
              <w:rPr>
                <w:rFonts w:ascii="Arial" w:cs="Arial" w:eastAsia="Arial" w:hAnsi="Arial"/>
                <w:sz w:val="18"/>
                <w:szCs w:val="18"/>
                <w:color w:val="auto"/>
              </w:rPr>
              <w:t>Consolidated</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540.1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North, South and Central America, including the United States</w:t>
      </w:r>
    </w:p>
    <w:p>
      <w:pPr>
        <w:spacing w:after="0" w:line="21" w:lineRule="exact"/>
        <w:rPr>
          <w:rFonts w:ascii="Arial" w:cs="Arial" w:eastAsia="Arial" w:hAnsi="Arial"/>
          <w:sz w:val="16"/>
          <w:szCs w:val="16"/>
          <w:color w:val="auto"/>
        </w:rPr>
      </w:pP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Europe, Middle East and Africa</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net sales change by geographic region: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6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ind w:left="1060"/>
              <w:spacing w:after="0"/>
              <w:rPr>
                <w:sz w:val="20"/>
                <w:szCs w:val="20"/>
                <w:color w:val="auto"/>
              </w:rPr>
            </w:pPr>
            <w:r>
              <w:rPr>
                <w:rFonts w:ascii="Arial" w:cs="Arial" w:eastAsia="Arial" w:hAnsi="Arial"/>
                <w:sz w:val="18"/>
                <w:szCs w:val="18"/>
                <w:color w:val="auto"/>
              </w:rPr>
              <w:t>Three Months</w:t>
            </w:r>
          </w:p>
        </w:tc>
        <w:tc>
          <w:tcPr>
            <w:tcW w:w="1560" w:type="dxa"/>
            <w:vAlign w:val="bottom"/>
            <w:tcBorders>
              <w:bottom w:val="single" w:sz="8" w:color="auto"/>
            </w:tcBorders>
          </w:tcPr>
          <w:p>
            <w:pPr>
              <w:spacing w:after="0"/>
              <w:rPr>
                <w:sz w:val="20"/>
                <w:szCs w:val="20"/>
                <w:color w:val="auto"/>
              </w:rPr>
            </w:pPr>
          </w:p>
        </w:tc>
      </w:tr>
      <w:tr>
        <w:trPr>
          <w:trHeight w:val="223"/>
        </w:trPr>
        <w:tc>
          <w:tcPr>
            <w:tcW w:w="4660" w:type="dxa"/>
            <w:vAlign w:val="bottom"/>
          </w:tcPr>
          <w:p>
            <w:pPr>
              <w:spacing w:after="0"/>
              <w:rPr>
                <w:sz w:val="19"/>
                <w:szCs w:val="19"/>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color w:val="auto"/>
              </w:rPr>
              <w:t>Volume and Price</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Acquisitions</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rPr>
              <w:t>Currency</w:t>
            </w:r>
          </w:p>
        </w:tc>
        <w:tc>
          <w:tcPr>
            <w:tcW w:w="1560" w:type="dxa"/>
            <w:vAlign w:val="bottom"/>
          </w:tcPr>
          <w:p>
            <w:pPr>
              <w:jc w:val="right"/>
              <w:ind w:right="510"/>
              <w:spacing w:after="0"/>
              <w:rPr>
                <w:sz w:val="20"/>
                <w:szCs w:val="20"/>
                <w:color w:val="auto"/>
              </w:rPr>
            </w:pPr>
            <w:r>
              <w:rPr>
                <w:rFonts w:ascii="Arial" w:cs="Arial" w:eastAsia="Arial" w:hAnsi="Arial"/>
                <w:sz w:val="18"/>
                <w:szCs w:val="18"/>
                <w:color w:val="auto"/>
              </w:rPr>
              <w:t>Total</w:t>
            </w: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3%</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EMEA</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(14)%</w:t>
            </w:r>
          </w:p>
        </w:tc>
        <w:tc>
          <w:tcPr>
            <w:tcW w:w="12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9"/>
                <w:szCs w:val="19"/>
                <w:color w:val="auto"/>
              </w:rPr>
            </w:pPr>
          </w:p>
        </w:tc>
        <w:tc>
          <w:tcPr>
            <w:tcW w:w="1560" w:type="dxa"/>
            <w:vAlign w:val="bottom"/>
          </w:tcPr>
          <w:p>
            <w:pPr>
              <w:jc w:val="right"/>
              <w:ind w:right="570"/>
              <w:spacing w:after="0"/>
              <w:rPr>
                <w:sz w:val="20"/>
                <w:szCs w:val="20"/>
                <w:color w:val="auto"/>
              </w:rPr>
            </w:pPr>
            <w:r>
              <w:rPr>
                <w:rFonts w:ascii="Arial" w:cs="Arial" w:eastAsia="Arial" w:hAnsi="Arial"/>
                <w:sz w:val="18"/>
                <w:szCs w:val="18"/>
                <w:color w:val="auto"/>
              </w:rPr>
              <w:t>4%</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(5)%</w:t>
            </w:r>
          </w:p>
        </w:tc>
      </w:tr>
      <w:tr>
        <w:trPr>
          <w:trHeight w:val="239"/>
        </w:trPr>
        <w:tc>
          <w:tcPr>
            <w:tcW w:w="4660" w:type="dxa"/>
            <w:vAlign w:val="bottom"/>
          </w:tcPr>
          <w:p>
            <w:pPr>
              <w:ind w:left="20"/>
              <w:spacing w:after="0"/>
              <w:rPr>
                <w:sz w:val="20"/>
                <w:szCs w:val="20"/>
                <w:color w:val="auto"/>
              </w:rPr>
            </w:pPr>
            <w:r>
              <w:rPr>
                <w:rFonts w:ascii="Arial" w:cs="Arial" w:eastAsia="Arial" w:hAnsi="Arial"/>
                <w:sz w:val="18"/>
                <w:szCs w:val="18"/>
                <w:color w:val="auto"/>
              </w:rPr>
              <w:t>Consolidated</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0"/>
                <w:szCs w:val="20"/>
                <w:color w:val="auto"/>
              </w:rPr>
            </w:pPr>
          </w:p>
        </w:tc>
        <w:tc>
          <w:tcPr>
            <w:tcW w:w="1560" w:type="dxa"/>
            <w:vAlign w:val="bottom"/>
          </w:tcPr>
          <w:p>
            <w:pPr>
              <w:jc w:val="right"/>
              <w:ind w:right="570"/>
              <w:spacing w:after="0"/>
              <w:rPr>
                <w:sz w:val="20"/>
                <w:szCs w:val="20"/>
                <w:color w:val="auto"/>
              </w:rPr>
            </w:pPr>
            <w:r>
              <w:rPr>
                <w:rFonts w:ascii="Arial" w:cs="Arial" w:eastAsia="Arial" w:hAnsi="Arial"/>
                <w:sz w:val="18"/>
                <w:szCs w:val="18"/>
                <w:color w:val="auto"/>
              </w:rPr>
              <w:t>2%</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w:t>
      </w:r>
    </w:p>
    <w:p>
      <w:pPr>
        <w:spacing w:after="0" w:line="25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first quarter gross margin rate was lower than the first quarter last year, primarily due to unfavorable product and channel mix and lower margin rates of acquired operations. Price realization was able to mostly offset the impact of incremental tariffs of $7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Expenses</w:t>
      </w:r>
    </w:p>
    <w:p>
      <w:pPr>
        <w:spacing w:after="0" w:line="252" w:lineRule="exact"/>
        <w:rPr>
          <w:sz w:val="20"/>
          <w:szCs w:val="20"/>
          <w:color w:val="auto"/>
        </w:rPr>
      </w:pPr>
    </w:p>
    <w:p>
      <w:pPr>
        <w:ind w:right="60"/>
        <w:spacing w:after="0" w:line="318" w:lineRule="auto"/>
        <w:rPr>
          <w:sz w:val="20"/>
          <w:szCs w:val="20"/>
          <w:color w:val="auto"/>
        </w:rPr>
      </w:pPr>
      <w:r>
        <w:rPr>
          <w:rFonts w:ascii="Arial" w:cs="Arial" w:eastAsia="Arial" w:hAnsi="Arial"/>
          <w:sz w:val="17"/>
          <w:szCs w:val="17"/>
          <w:color w:val="auto"/>
        </w:rPr>
        <w:t>Total operating expenses for the first quarter increased $9 million (7 percent) compared to the same period last year, including approximately $5 million (4 percentage points) from acquired operations and $4 million (3 percentage points) from the effects of currency translation.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Expense</w:t>
      </w:r>
    </w:p>
    <w:p>
      <w:pPr>
        <w:spacing w:after="0" w:line="25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Other non-operating income for the first quarter decreased $5 million compared to the same period last year due to a prior year gain from the sale of a former manufacturing and distribution facility in Switzerland that did not repeat.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52"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effective income tax rate was 15 percent for the quarter, down approximately 3 percentage points from the first quarter last year. The decrease was due primarily to an increase in excess tax benefits related to stock option exercises.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Certain measurements of segment operations compared to last year are summarized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Contractor Segment</w:t>
      </w:r>
    </w:p>
    <w:p>
      <w:pPr>
        <w:spacing w:after="0" w:line="252" w:lineRule="exact"/>
        <w:rPr>
          <w:sz w:val="20"/>
          <w:szCs w:val="20"/>
          <w:color w:val="auto"/>
        </w:rPr>
      </w:pPr>
    </w:p>
    <w:p>
      <w:pPr>
        <w:ind w:right="2120"/>
        <w:spacing w:after="0" w:line="287" w:lineRule="auto"/>
        <w:rPr>
          <w:sz w:val="20"/>
          <w:szCs w:val="20"/>
          <w:color w:val="auto"/>
        </w:rPr>
      </w:pPr>
      <w:r>
        <w:rPr>
          <w:rFonts w:ascii="Arial" w:cs="Arial" w:eastAsia="Arial" w:hAnsi="Arial"/>
          <w:sz w:val="18"/>
          <w:szCs w:val="18"/>
          <w:color w:val="auto"/>
        </w:rPr>
        <w:t>The following table presents net sales and operating earnings as a percentage of sales for the Contractor segment (dollars in millions):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color w:val="auto"/>
              </w:rPr>
              <w:t>Three Months Ended</w:t>
            </w:r>
          </w:p>
        </w:tc>
      </w:tr>
      <w:tr>
        <w:trPr>
          <w:trHeight w:val="177"/>
        </w:trPr>
        <w:tc>
          <w:tcPr>
            <w:tcW w:w="7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2"/>
          </w:tcPr>
          <w:p>
            <w:pPr>
              <w:ind w:left="160"/>
              <w:spacing w:after="0" w:line="177" w:lineRule="exact"/>
              <w:rPr>
                <w:sz w:val="20"/>
                <w:szCs w:val="20"/>
                <w:color w:val="auto"/>
              </w:rPr>
            </w:pPr>
            <w:r>
              <w:rPr>
                <w:rFonts w:ascii="Arial" w:cs="Arial" w:eastAsia="Arial" w:hAnsi="Arial"/>
                <w:sz w:val="18"/>
                <w:szCs w:val="18"/>
                <w:color w:val="auto"/>
              </w:rPr>
              <w:t>March 27,</w:t>
            </w:r>
          </w:p>
        </w:tc>
        <w:tc>
          <w:tcPr>
            <w:tcW w:w="280" w:type="dxa"/>
            <w:vAlign w:val="bottom"/>
          </w:tcPr>
          <w:p>
            <w:pPr>
              <w:spacing w:after="0"/>
              <w:rPr>
                <w:sz w:val="15"/>
                <w:szCs w:val="15"/>
                <w:color w:val="auto"/>
              </w:rPr>
            </w:pPr>
          </w:p>
        </w:tc>
        <w:tc>
          <w:tcPr>
            <w:tcW w:w="1420" w:type="dxa"/>
            <w:vAlign w:val="bottom"/>
          </w:tcPr>
          <w:p>
            <w:pPr>
              <w:jc w:val="right"/>
              <w:ind w:right="370"/>
              <w:spacing w:after="0" w:line="177" w:lineRule="exact"/>
              <w:rPr>
                <w:sz w:val="20"/>
                <w:szCs w:val="20"/>
                <w:color w:val="auto"/>
              </w:rPr>
            </w:pPr>
            <w:r>
              <w:rPr>
                <w:rFonts w:ascii="Arial" w:cs="Arial" w:eastAsia="Arial" w:hAnsi="Arial"/>
                <w:sz w:val="18"/>
                <w:szCs w:val="18"/>
                <w:color w:val="auto"/>
              </w:rPr>
              <w:t>March 28,</w:t>
            </w:r>
          </w:p>
        </w:tc>
      </w:tr>
      <w:tr>
        <w:trPr>
          <w:trHeight w:val="235"/>
        </w:trPr>
        <w:tc>
          <w:tcPr>
            <w:tcW w:w="77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2025</w:t>
            </w:r>
          </w:p>
        </w:tc>
      </w:tr>
      <w:tr>
        <w:trPr>
          <w:trHeight w:val="20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Americas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180.9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175.9</w:t>
            </w:r>
          </w:p>
        </w:tc>
      </w:tr>
      <w:tr>
        <w:trPr>
          <w:trHeight w:val="230"/>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EMEA</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54.5</w:t>
            </w:r>
          </w:p>
        </w:tc>
      </w:tr>
      <w:tr>
        <w:trPr>
          <w:trHeight w:val="229"/>
        </w:trPr>
        <w:tc>
          <w:tcPr>
            <w:tcW w:w="7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Asia Pacific</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24.6</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260.0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255.0</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Operating earnings as a percentage of net sales</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24 %</w:t>
            </w:r>
          </w:p>
        </w:tc>
      </w:tr>
      <w:tr>
        <w:trPr>
          <w:trHeight w:val="20"/>
        </w:trPr>
        <w:tc>
          <w:tcPr>
            <w:tcW w:w="7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net sales change by geographic region for the Contractor segment: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6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ind w:left="1060"/>
              <w:spacing w:after="0"/>
              <w:rPr>
                <w:sz w:val="20"/>
                <w:szCs w:val="20"/>
                <w:color w:val="auto"/>
              </w:rPr>
            </w:pPr>
            <w:r>
              <w:rPr>
                <w:rFonts w:ascii="Arial" w:cs="Arial" w:eastAsia="Arial" w:hAnsi="Arial"/>
                <w:sz w:val="18"/>
                <w:szCs w:val="18"/>
                <w:color w:val="auto"/>
              </w:rPr>
              <w:t>Three Months</w:t>
            </w:r>
          </w:p>
        </w:tc>
        <w:tc>
          <w:tcPr>
            <w:tcW w:w="1560" w:type="dxa"/>
            <w:vAlign w:val="bottom"/>
            <w:tcBorders>
              <w:bottom w:val="single" w:sz="8" w:color="auto"/>
            </w:tcBorders>
          </w:tcPr>
          <w:p>
            <w:pPr>
              <w:spacing w:after="0"/>
              <w:rPr>
                <w:sz w:val="20"/>
                <w:szCs w:val="20"/>
                <w:color w:val="auto"/>
              </w:rPr>
            </w:pPr>
          </w:p>
        </w:tc>
      </w:tr>
      <w:tr>
        <w:trPr>
          <w:trHeight w:val="223"/>
        </w:trPr>
        <w:tc>
          <w:tcPr>
            <w:tcW w:w="4660" w:type="dxa"/>
            <w:vAlign w:val="bottom"/>
          </w:tcPr>
          <w:p>
            <w:pPr>
              <w:spacing w:after="0"/>
              <w:rPr>
                <w:sz w:val="19"/>
                <w:szCs w:val="19"/>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color w:val="auto"/>
              </w:rPr>
              <w:t>Volume and Price</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Acquisitions</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rPr>
              <w:t>Currency</w:t>
            </w:r>
          </w:p>
        </w:tc>
        <w:tc>
          <w:tcPr>
            <w:tcW w:w="1560" w:type="dxa"/>
            <w:vAlign w:val="bottom"/>
          </w:tcPr>
          <w:p>
            <w:pPr>
              <w:jc w:val="right"/>
              <w:ind w:right="510"/>
              <w:spacing w:after="0"/>
              <w:rPr>
                <w:sz w:val="20"/>
                <w:szCs w:val="20"/>
                <w:color w:val="auto"/>
              </w:rPr>
            </w:pPr>
            <w:r>
              <w:rPr>
                <w:rFonts w:ascii="Arial" w:cs="Arial" w:eastAsia="Arial" w:hAnsi="Arial"/>
                <w:sz w:val="18"/>
                <w:szCs w:val="18"/>
                <w:color w:val="auto"/>
              </w:rPr>
              <w:t>Total</w:t>
            </w: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3%</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EMEA</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9"/>
                <w:szCs w:val="19"/>
                <w:color w:val="auto"/>
              </w:rPr>
            </w:pPr>
          </w:p>
        </w:tc>
        <w:tc>
          <w:tcPr>
            <w:tcW w:w="1560" w:type="dxa"/>
            <w:vAlign w:val="bottom"/>
          </w:tcPr>
          <w:p>
            <w:pPr>
              <w:jc w:val="right"/>
              <w:ind w:right="570"/>
              <w:spacing w:after="0"/>
              <w:rPr>
                <w:sz w:val="20"/>
                <w:szCs w:val="20"/>
                <w:color w:val="auto"/>
              </w:rPr>
            </w:pPr>
            <w:r>
              <w:rPr>
                <w:rFonts w:ascii="Arial" w:cs="Arial" w:eastAsia="Arial" w:hAnsi="Arial"/>
                <w:sz w:val="18"/>
                <w:szCs w:val="18"/>
                <w:color w:val="auto"/>
              </w:rPr>
              <w:t>3%</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(7)%</w:t>
            </w:r>
          </w:p>
        </w:tc>
      </w:tr>
      <w:tr>
        <w:trPr>
          <w:trHeight w:val="239"/>
        </w:trPr>
        <w:tc>
          <w:tcPr>
            <w:tcW w:w="4660" w:type="dxa"/>
            <w:vAlign w:val="bottom"/>
          </w:tcPr>
          <w:p>
            <w:pPr>
              <w:ind w:left="20"/>
              <w:spacing w:after="0"/>
              <w:rPr>
                <w:sz w:val="20"/>
                <w:szCs w:val="20"/>
                <w:color w:val="auto"/>
              </w:rPr>
            </w:pPr>
            <w:r>
              <w:rPr>
                <w:rFonts w:ascii="Arial" w:cs="Arial" w:eastAsia="Arial" w:hAnsi="Arial"/>
                <w:sz w:val="18"/>
                <w:szCs w:val="18"/>
                <w:color w:val="auto"/>
              </w:rPr>
              <w:t>Segment Total</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0"/>
                <w:szCs w:val="20"/>
                <w:color w:val="auto"/>
              </w:rPr>
            </w:pPr>
          </w:p>
        </w:tc>
        <w:tc>
          <w:tcPr>
            <w:tcW w:w="1560" w:type="dxa"/>
            <w:vAlign w:val="bottom"/>
          </w:tcPr>
          <w:p>
            <w:pPr>
              <w:jc w:val="right"/>
              <w:ind w:right="570"/>
              <w:spacing w:after="0"/>
              <w:rPr>
                <w:sz w:val="20"/>
                <w:szCs w:val="20"/>
                <w:color w:val="auto"/>
              </w:rPr>
            </w:pPr>
            <w:r>
              <w:rPr>
                <w:rFonts w:ascii="Arial" w:cs="Arial" w:eastAsia="Arial" w:hAnsi="Arial"/>
                <w:sz w:val="18"/>
                <w:szCs w:val="18"/>
                <w:color w:val="auto"/>
              </w:rPr>
              <w:t>2%</w:t>
            </w:r>
          </w:p>
        </w:tc>
      </w:tr>
    </w:tbl>
    <w:p>
      <w:pPr>
        <w:spacing w:after="0" w:line="200" w:lineRule="exact"/>
        <w:rPr>
          <w:sz w:val="20"/>
          <w:szCs w:val="20"/>
          <w:color w:val="auto"/>
        </w:rPr>
      </w:pPr>
    </w:p>
    <w:p>
      <w:pPr>
        <w:spacing w:after="0" w:line="20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Contractor segment net sales increased 2 percent for the first quarter compared to the same period last year. Incremental sales from acquired operations and favorable changes in currency translation rates were partially offset by continued weakness in the worldwide construction markets. The operating margin rate was flat as price realization offset higher product costs, including increased tariff costs of $4 million.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Industrial Segment</w:t>
      </w:r>
    </w:p>
    <w:p>
      <w:pPr>
        <w:spacing w:after="0" w:line="252" w:lineRule="exact"/>
        <w:rPr>
          <w:sz w:val="20"/>
          <w:szCs w:val="20"/>
          <w:color w:val="auto"/>
        </w:rPr>
      </w:pPr>
    </w:p>
    <w:p>
      <w:pPr>
        <w:ind w:right="2240"/>
        <w:spacing w:after="0" w:line="287" w:lineRule="auto"/>
        <w:rPr>
          <w:sz w:val="20"/>
          <w:szCs w:val="20"/>
          <w:color w:val="auto"/>
        </w:rPr>
      </w:pPr>
      <w:r>
        <w:rPr>
          <w:rFonts w:ascii="Arial" w:cs="Arial" w:eastAsia="Arial" w:hAnsi="Arial"/>
          <w:sz w:val="18"/>
          <w:szCs w:val="18"/>
          <w:color w:val="auto"/>
        </w:rPr>
        <w:t>The following table presents net sales and operating earnings as a percentage of sales for the Industrial segment (dollars in millions):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color w:val="auto"/>
              </w:rPr>
              <w:t>Three Months Ended</w:t>
            </w:r>
          </w:p>
        </w:tc>
      </w:tr>
      <w:tr>
        <w:trPr>
          <w:trHeight w:val="169"/>
        </w:trPr>
        <w:tc>
          <w:tcPr>
            <w:tcW w:w="7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tcPr>
          <w:p>
            <w:pPr>
              <w:ind w:left="160"/>
              <w:spacing w:after="0" w:line="169" w:lineRule="exact"/>
              <w:rPr>
                <w:sz w:val="20"/>
                <w:szCs w:val="20"/>
                <w:color w:val="auto"/>
              </w:rPr>
            </w:pPr>
            <w:r>
              <w:rPr>
                <w:rFonts w:ascii="Arial" w:cs="Arial" w:eastAsia="Arial" w:hAnsi="Arial"/>
                <w:sz w:val="18"/>
                <w:szCs w:val="18"/>
                <w:color w:val="auto"/>
              </w:rPr>
              <w:t>March 27,</w:t>
            </w:r>
          </w:p>
        </w:tc>
        <w:tc>
          <w:tcPr>
            <w:tcW w:w="280" w:type="dxa"/>
            <w:vAlign w:val="bottom"/>
          </w:tcPr>
          <w:p>
            <w:pPr>
              <w:spacing w:after="0"/>
              <w:rPr>
                <w:sz w:val="14"/>
                <w:szCs w:val="14"/>
                <w:color w:val="auto"/>
              </w:rPr>
            </w:pPr>
          </w:p>
        </w:tc>
        <w:tc>
          <w:tcPr>
            <w:tcW w:w="1420" w:type="dxa"/>
            <w:vAlign w:val="bottom"/>
          </w:tcPr>
          <w:p>
            <w:pPr>
              <w:jc w:val="right"/>
              <w:ind w:right="370"/>
              <w:spacing w:after="0" w:line="169" w:lineRule="exact"/>
              <w:rPr>
                <w:sz w:val="20"/>
                <w:szCs w:val="20"/>
                <w:color w:val="auto"/>
              </w:rPr>
            </w:pPr>
            <w:r>
              <w:rPr>
                <w:rFonts w:ascii="Arial" w:cs="Arial" w:eastAsia="Arial" w:hAnsi="Arial"/>
                <w:sz w:val="18"/>
                <w:szCs w:val="18"/>
                <w:color w:val="auto"/>
              </w:rPr>
              <w:t>March 28,</w:t>
            </w:r>
          </w:p>
        </w:tc>
      </w:tr>
      <w:tr>
        <w:trPr>
          <w:trHeight w:val="241"/>
        </w:trPr>
        <w:tc>
          <w:tcPr>
            <w:tcW w:w="77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2025</w:t>
            </w:r>
          </w:p>
        </w:tc>
      </w:tr>
      <w:tr>
        <w:trPr>
          <w:trHeight w:val="212"/>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Americas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121.2</w:t>
            </w:r>
          </w:p>
        </w:tc>
      </w:tr>
      <w:tr>
        <w:trPr>
          <w:trHeight w:val="230"/>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EMEA</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59.4</w:t>
            </w:r>
          </w:p>
        </w:tc>
      </w:tr>
      <w:tr>
        <w:trPr>
          <w:trHeight w:val="229"/>
        </w:trPr>
        <w:tc>
          <w:tcPr>
            <w:tcW w:w="7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Asia Pacific</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51.1</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240.4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231.7</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Operating earnings as a percentage of net sales</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34 %</w:t>
            </w:r>
          </w:p>
        </w:tc>
      </w:tr>
      <w:tr>
        <w:trPr>
          <w:trHeight w:val="21"/>
        </w:trPr>
        <w:tc>
          <w:tcPr>
            <w:tcW w:w="7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net sales change by geographic region for the Industrial segment: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6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ind w:left="1060"/>
              <w:spacing w:after="0"/>
              <w:rPr>
                <w:sz w:val="20"/>
                <w:szCs w:val="20"/>
                <w:color w:val="auto"/>
              </w:rPr>
            </w:pPr>
            <w:r>
              <w:rPr>
                <w:rFonts w:ascii="Arial" w:cs="Arial" w:eastAsia="Arial" w:hAnsi="Arial"/>
                <w:sz w:val="18"/>
                <w:szCs w:val="18"/>
                <w:color w:val="auto"/>
              </w:rPr>
              <w:t>Three Months</w:t>
            </w:r>
          </w:p>
        </w:tc>
        <w:tc>
          <w:tcPr>
            <w:tcW w:w="1560" w:type="dxa"/>
            <w:vAlign w:val="bottom"/>
            <w:tcBorders>
              <w:bottom w:val="single" w:sz="8" w:color="auto"/>
            </w:tcBorders>
          </w:tcPr>
          <w:p>
            <w:pPr>
              <w:spacing w:after="0"/>
              <w:rPr>
                <w:sz w:val="20"/>
                <w:szCs w:val="20"/>
                <w:color w:val="auto"/>
              </w:rPr>
            </w:pPr>
          </w:p>
        </w:tc>
      </w:tr>
      <w:tr>
        <w:trPr>
          <w:trHeight w:val="223"/>
        </w:trPr>
        <w:tc>
          <w:tcPr>
            <w:tcW w:w="4660" w:type="dxa"/>
            <w:vAlign w:val="bottom"/>
          </w:tcPr>
          <w:p>
            <w:pPr>
              <w:spacing w:after="0"/>
              <w:rPr>
                <w:sz w:val="19"/>
                <w:szCs w:val="19"/>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color w:val="auto"/>
              </w:rPr>
              <w:t>Volume and Price</w:t>
            </w:r>
          </w:p>
        </w:tc>
        <w:tc>
          <w:tcPr>
            <w:tcW w:w="1660" w:type="dxa"/>
            <w:vAlign w:val="bottom"/>
            <w:gridSpan w:val="2"/>
          </w:tcPr>
          <w:p>
            <w:pPr>
              <w:ind w:left="300"/>
              <w:spacing w:after="0"/>
              <w:rPr>
                <w:sz w:val="20"/>
                <w:szCs w:val="20"/>
                <w:color w:val="auto"/>
              </w:rPr>
            </w:pPr>
            <w:r>
              <w:rPr>
                <w:rFonts w:ascii="Arial" w:cs="Arial" w:eastAsia="Arial" w:hAnsi="Arial"/>
                <w:sz w:val="18"/>
                <w:szCs w:val="18"/>
                <w:color w:val="auto"/>
              </w:rPr>
              <w:t>Acquisitions</w:t>
            </w:r>
          </w:p>
        </w:tc>
        <w:tc>
          <w:tcPr>
            <w:tcW w:w="1680" w:type="dxa"/>
            <w:vAlign w:val="bottom"/>
            <w:gridSpan w:val="2"/>
          </w:tcPr>
          <w:p>
            <w:pPr>
              <w:ind w:left="420"/>
              <w:spacing w:after="0"/>
              <w:rPr>
                <w:sz w:val="20"/>
                <w:szCs w:val="20"/>
                <w:color w:val="auto"/>
              </w:rPr>
            </w:pPr>
            <w:r>
              <w:rPr>
                <w:rFonts w:ascii="Arial" w:cs="Arial" w:eastAsia="Arial" w:hAnsi="Arial"/>
                <w:sz w:val="18"/>
                <w:szCs w:val="18"/>
                <w:color w:val="auto"/>
              </w:rPr>
              <w:t>Currency</w:t>
            </w:r>
          </w:p>
        </w:tc>
        <w:tc>
          <w:tcPr>
            <w:tcW w:w="1560" w:type="dxa"/>
            <w:vAlign w:val="bottom"/>
          </w:tcPr>
          <w:p>
            <w:pPr>
              <w:jc w:val="right"/>
              <w:ind w:right="510"/>
              <w:spacing w:after="0"/>
              <w:rPr>
                <w:sz w:val="20"/>
                <w:szCs w:val="20"/>
                <w:color w:val="auto"/>
              </w:rPr>
            </w:pPr>
            <w:r>
              <w:rPr>
                <w:rFonts w:ascii="Arial" w:cs="Arial" w:eastAsia="Arial" w:hAnsi="Arial"/>
                <w:sz w:val="18"/>
                <w:szCs w:val="18"/>
                <w:color w:val="auto"/>
              </w:rPr>
              <w:t>Total</w:t>
            </w: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8%</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EMEA</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(22)%</w:t>
            </w:r>
          </w:p>
        </w:tc>
        <w:tc>
          <w:tcPr>
            <w:tcW w:w="12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18%</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100" w:type="dxa"/>
            <w:vAlign w:val="bottom"/>
          </w:tcPr>
          <w:p>
            <w:pPr>
              <w:spacing w:after="0"/>
              <w:rPr>
                <w:sz w:val="19"/>
                <w:szCs w:val="19"/>
                <w:color w:val="auto"/>
              </w:rPr>
            </w:pPr>
          </w:p>
        </w:tc>
        <w:tc>
          <w:tcPr>
            <w:tcW w:w="1560" w:type="dxa"/>
            <w:vAlign w:val="bottom"/>
          </w:tcPr>
          <w:p>
            <w:pPr>
              <w:jc w:val="right"/>
              <w:ind w:right="570"/>
              <w:spacing w:after="0"/>
              <w:rPr>
                <w:sz w:val="20"/>
                <w:szCs w:val="20"/>
                <w:color w:val="auto"/>
              </w:rPr>
            </w:pPr>
            <w:r>
              <w:rPr>
                <w:rFonts w:ascii="Arial" w:cs="Arial" w:eastAsia="Arial" w:hAnsi="Arial"/>
                <w:sz w:val="18"/>
                <w:szCs w:val="18"/>
                <w:color w:val="auto"/>
              </w:rPr>
              <w:t>6%</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(9)%</w:t>
            </w:r>
          </w:p>
        </w:tc>
      </w:tr>
      <w:tr>
        <w:trPr>
          <w:trHeight w:val="239"/>
        </w:trPr>
        <w:tc>
          <w:tcPr>
            <w:tcW w:w="4660" w:type="dxa"/>
            <w:vAlign w:val="bottom"/>
          </w:tcPr>
          <w:p>
            <w:pPr>
              <w:ind w:left="20"/>
              <w:spacing w:after="0"/>
              <w:rPr>
                <w:sz w:val="20"/>
                <w:szCs w:val="20"/>
                <w:color w:val="auto"/>
              </w:rPr>
            </w:pPr>
            <w:r>
              <w:rPr>
                <w:rFonts w:ascii="Arial" w:cs="Arial" w:eastAsia="Arial" w:hAnsi="Arial"/>
                <w:sz w:val="18"/>
                <w:szCs w:val="18"/>
                <w:color w:val="auto"/>
              </w:rPr>
              <w:t>Segment Total</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20"/>
                <w:szCs w:val="20"/>
                <w:color w:val="auto"/>
              </w:rPr>
            </w:pPr>
          </w:p>
        </w:tc>
        <w:tc>
          <w:tcPr>
            <w:tcW w:w="1560" w:type="dxa"/>
            <w:vAlign w:val="bottom"/>
          </w:tcPr>
          <w:p>
            <w:pPr>
              <w:jc w:val="right"/>
              <w:ind w:right="570"/>
              <w:spacing w:after="0"/>
              <w:rPr>
                <w:sz w:val="20"/>
                <w:szCs w:val="20"/>
                <w:color w:val="auto"/>
              </w:rPr>
            </w:pPr>
            <w:r>
              <w:rPr>
                <w:rFonts w:ascii="Arial" w:cs="Arial" w:eastAsia="Arial" w:hAnsi="Arial"/>
                <w:sz w:val="18"/>
                <w:szCs w:val="18"/>
                <w:color w:val="auto"/>
              </w:rPr>
              <w:t>4%</w:t>
            </w:r>
          </w:p>
        </w:tc>
      </w:tr>
    </w:tbl>
    <w:p>
      <w:pPr>
        <w:spacing w:after="0" w:line="200" w:lineRule="exact"/>
        <w:rPr>
          <w:sz w:val="20"/>
          <w:szCs w:val="20"/>
          <w:color w:val="auto"/>
        </w:rPr>
      </w:pPr>
    </w:p>
    <w:p>
      <w:pPr>
        <w:spacing w:after="0" w:line="21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Industrial segment sales growth for the first quarter included $20 million (8 percentage points) from acquired operations, which more than offset the impact of the timing of finishing system sales and other project activity compared to the first quarter last year. Higher product costs, including increased tariff costs of $3 million, and unfavorable product and channel mix drove a 2 percentage point decline in the operating margin rate for the quarter.</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Expansion Markets Segment</w:t>
      </w:r>
    </w:p>
    <w:p>
      <w:pPr>
        <w:spacing w:after="0" w:line="239"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The following table presents net sales and operating earnings as a percentage of sales for the Expansion Markets segment (dollars in millions):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color w:val="auto"/>
              </w:rPr>
              <w:t>Three Months Ended</w:t>
            </w:r>
          </w:p>
        </w:tc>
      </w:tr>
      <w:tr>
        <w:trPr>
          <w:trHeight w:val="169"/>
        </w:trPr>
        <w:tc>
          <w:tcPr>
            <w:tcW w:w="7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tcPr>
          <w:p>
            <w:pPr>
              <w:ind w:left="160"/>
              <w:spacing w:after="0" w:line="169" w:lineRule="exact"/>
              <w:rPr>
                <w:sz w:val="20"/>
                <w:szCs w:val="20"/>
                <w:color w:val="auto"/>
              </w:rPr>
            </w:pPr>
            <w:r>
              <w:rPr>
                <w:rFonts w:ascii="Arial" w:cs="Arial" w:eastAsia="Arial" w:hAnsi="Arial"/>
                <w:sz w:val="18"/>
                <w:szCs w:val="18"/>
                <w:color w:val="auto"/>
              </w:rPr>
              <w:t>March 27,</w:t>
            </w:r>
          </w:p>
        </w:tc>
        <w:tc>
          <w:tcPr>
            <w:tcW w:w="280" w:type="dxa"/>
            <w:vAlign w:val="bottom"/>
          </w:tcPr>
          <w:p>
            <w:pPr>
              <w:spacing w:after="0"/>
              <w:rPr>
                <w:sz w:val="14"/>
                <w:szCs w:val="14"/>
                <w:color w:val="auto"/>
              </w:rPr>
            </w:pPr>
          </w:p>
        </w:tc>
        <w:tc>
          <w:tcPr>
            <w:tcW w:w="1420" w:type="dxa"/>
            <w:vAlign w:val="bottom"/>
          </w:tcPr>
          <w:p>
            <w:pPr>
              <w:jc w:val="right"/>
              <w:ind w:right="370"/>
              <w:spacing w:after="0" w:line="169" w:lineRule="exact"/>
              <w:rPr>
                <w:sz w:val="20"/>
                <w:szCs w:val="20"/>
                <w:color w:val="auto"/>
              </w:rPr>
            </w:pPr>
            <w:r>
              <w:rPr>
                <w:rFonts w:ascii="Arial" w:cs="Arial" w:eastAsia="Arial" w:hAnsi="Arial"/>
                <w:sz w:val="18"/>
                <w:szCs w:val="18"/>
                <w:color w:val="auto"/>
              </w:rPr>
              <w:t>March 28,</w:t>
            </w:r>
          </w:p>
        </w:tc>
      </w:tr>
      <w:tr>
        <w:trPr>
          <w:trHeight w:val="241"/>
        </w:trPr>
        <w:tc>
          <w:tcPr>
            <w:tcW w:w="77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2025</w:t>
            </w:r>
          </w:p>
        </w:tc>
      </w:tr>
      <w:tr>
        <w:trPr>
          <w:trHeight w:val="212"/>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Americas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26.0</w:t>
            </w:r>
          </w:p>
        </w:tc>
      </w:tr>
      <w:tr>
        <w:trPr>
          <w:trHeight w:val="230"/>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EMEA</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7.1</w:t>
            </w:r>
          </w:p>
        </w:tc>
      </w:tr>
      <w:tr>
        <w:trPr>
          <w:trHeight w:val="230"/>
        </w:trPr>
        <w:tc>
          <w:tcPr>
            <w:tcW w:w="7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Asia Pacific</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8.5</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41.6</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Operating earnings as a percentage of net sales</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24 %</w:t>
            </w:r>
          </w:p>
        </w:tc>
      </w:tr>
      <w:tr>
        <w:trPr>
          <w:trHeight w:val="20"/>
        </w:trPr>
        <w:tc>
          <w:tcPr>
            <w:tcW w:w="7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net sales change by geographic region for the Expansion Markets segment: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6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ind w:left="1060"/>
              <w:spacing w:after="0"/>
              <w:rPr>
                <w:sz w:val="20"/>
                <w:szCs w:val="20"/>
                <w:color w:val="auto"/>
              </w:rPr>
            </w:pPr>
            <w:r>
              <w:rPr>
                <w:rFonts w:ascii="Arial" w:cs="Arial" w:eastAsia="Arial" w:hAnsi="Arial"/>
                <w:sz w:val="18"/>
                <w:szCs w:val="18"/>
                <w:color w:val="auto"/>
              </w:rPr>
              <w:t>Three Months</w:t>
            </w:r>
          </w:p>
        </w:tc>
        <w:tc>
          <w:tcPr>
            <w:tcW w:w="1560" w:type="dxa"/>
            <w:vAlign w:val="bottom"/>
            <w:tcBorders>
              <w:bottom w:val="single" w:sz="8" w:color="auto"/>
            </w:tcBorders>
          </w:tcPr>
          <w:p>
            <w:pPr>
              <w:spacing w:after="0"/>
              <w:rPr>
                <w:sz w:val="20"/>
                <w:szCs w:val="20"/>
                <w:color w:val="auto"/>
              </w:rPr>
            </w:pPr>
          </w:p>
        </w:tc>
      </w:tr>
      <w:tr>
        <w:trPr>
          <w:trHeight w:val="223"/>
        </w:trPr>
        <w:tc>
          <w:tcPr>
            <w:tcW w:w="4660" w:type="dxa"/>
            <w:vAlign w:val="bottom"/>
          </w:tcPr>
          <w:p>
            <w:pPr>
              <w:spacing w:after="0"/>
              <w:rPr>
                <w:sz w:val="19"/>
                <w:szCs w:val="19"/>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color w:val="auto"/>
              </w:rPr>
              <w:t>Volume and Price</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Acquisitions</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rPr>
              <w:t>Currency</w:t>
            </w:r>
          </w:p>
        </w:tc>
        <w:tc>
          <w:tcPr>
            <w:tcW w:w="1560" w:type="dxa"/>
            <w:vAlign w:val="bottom"/>
          </w:tcPr>
          <w:p>
            <w:pPr>
              <w:ind w:left="580"/>
              <w:spacing w:after="0"/>
              <w:rPr>
                <w:sz w:val="20"/>
                <w:szCs w:val="20"/>
                <w:color w:val="auto"/>
              </w:rPr>
            </w:pPr>
            <w:r>
              <w:rPr>
                <w:rFonts w:ascii="Arial" w:cs="Arial" w:eastAsia="Arial" w:hAnsi="Arial"/>
                <w:sz w:val="18"/>
                <w:szCs w:val="18"/>
                <w:color w:val="auto"/>
              </w:rPr>
              <w:t>Total</w:t>
            </w: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(15)%</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EMEA</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28%</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28%</w:t>
            </w:r>
          </w:p>
        </w:tc>
      </w:tr>
      <w:tr>
        <w:trPr>
          <w:trHeight w:val="239"/>
        </w:trPr>
        <w:tc>
          <w:tcPr>
            <w:tcW w:w="4660" w:type="dxa"/>
            <w:vAlign w:val="bottom"/>
          </w:tcPr>
          <w:p>
            <w:pPr>
              <w:ind w:left="20"/>
              <w:spacing w:after="0"/>
              <w:rPr>
                <w:sz w:val="20"/>
                <w:szCs w:val="20"/>
                <w:color w:val="auto"/>
              </w:rPr>
            </w:pPr>
            <w:r>
              <w:rPr>
                <w:rFonts w:ascii="Arial" w:cs="Arial" w:eastAsia="Arial" w:hAnsi="Arial"/>
                <w:sz w:val="18"/>
                <w:szCs w:val="18"/>
                <w:color w:val="auto"/>
              </w:rPr>
              <w:t>Segment Total</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Net sales for the first quarter in the Expansion Markets segment decreased 4 percent, primarily due to lower semiconductor application sales in the Americas. The decline in sales volume was offset by lower expenses and an improved gross margin rate, resulting in an operating margin rate that was comparable to the same period last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Net cash provided by operating activities of $120 million in the first quarter of 2026 decreased $5 million compared to the same period last year, mostly due to higher performance-based incentive payouts. Significant uses of cash in the first three months of 2026 included dividend payments of $49 million and plant and equipment additions of $12 million. Net proceeds from shares issued in 2026 totaled $40 million, which was partially offset by share repurchases of $12 million.</w:t>
      </w:r>
    </w:p>
    <w:p>
      <w:pPr>
        <w:spacing w:after="0" w:line="203"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For the first three months of 2025, significant uses of cash included share repurchases of $238 million (partially offset by $28 million from shares issued) and dividend payments of $47 million.</w:t>
      </w:r>
    </w:p>
    <w:p>
      <w:pPr>
        <w:spacing w:after="0" w:line="180"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As of March 27, 2026, the Company had available liquidity of $1,485 million, including cash and cash equivalents of $712 million, of which $223 million was held outside of the U.S., and available credit under existing committed credit facilities of $773 million.</w:t>
      </w:r>
    </w:p>
    <w:p>
      <w:pPr>
        <w:spacing w:after="0" w:line="18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Cash balances and unused financing sources are expected to provide the Company with the flexibility to meet its liquidity needs for the next 12 months and beyond, including its capital expenditure plan, planned dividends, share repurchases, potential future acquisitions and operating requirements. Capital expenditures for 2026 are expected to be approximately $100 million. The Company may make opportunistic share repurchases going forward.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104"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Incoming order activity and end market demand trends support the Company's 2026 outlook of low single-digit sales growth on an organic constant-currency basis and mid-single-digit growth including the expected incremental sales from acquisitions.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 Regarding Forward-Looking Statements</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desires to take advantage of the “safe harbor” provisions regarding forward-looking statements of the Private Securities Litigation Reform Act of 1995 and is filing this Cautionary Statement in order to do so. From time to time various forms filed by our Company with the Securities and Exchange Commission, including our Form 10-K, Form 10-Qs and Form 8-Ks, and other disclosures, including our 2025 Overview report, press releases, earnings releases, analyst briefings, conference calls and other written documents or oral statements released by our Company, may contain forward-looking statements. Forward-looking statements generally use words such as “expect,” “foresee,” “anticipate,” “believe,” “project,” “should,” “estimate,” “will,” and similar expressions, and reflect our Company’s expectations concerning the future. All forecasts and projections are forward-looking statements. Forward-looking statements are based upon currently available information, but various risks and uncertainties may cause our Company’s actual results to differ materially from those expressed in these statements. The Company undertakes no obligation to update these statements in light of new information or future events.</w:t>
      </w:r>
    </w:p>
    <w:p>
      <w:pPr>
        <w:spacing w:after="0" w:line="2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Future results could differ materially from those expressed, due to the impact of changes in various factors. These risk factors include, but are not limited to, risks relating to the demand for our products and the level of commercial, industrial and construction activity worldwide; changes in currency translation rates; international and domestic instability; interest rate fluctuations and changes in credit markets; global sourcing of materials; inflationary cost pressures and our ability to raise prices without decreasing demand for our products; interruptions of or intrusions into our information systems; intellectual property rights; the use of generative artificial intelligence and other emerging technologies; conducting business internationally; catastrophic events; our ability to attract, develop and retain qualified personnel; public health crises; our growth strategies and acquisitions; potential goodwill impairment; our ability to compete effectively; our dependence on a few large customers; our dependence on cyclical industries; changes in laws and regulations; climate-related laws, regulations and accords; environmental, social and governance-related expectations and requirements; compliance with anti-corruption and trade laws; changes in tax or tariff rates or the adoption of new tax or tariff legislation; and costs associated with legal proceedings. Please refer to Item 1A of our 2025 Annual Report on Form 10-K and Item 1A of this Form 10-Q for a more comprehensive discussion of these and other risk factors. These reports are available on the Company’s website at </w:t>
      </w:r>
      <w:r>
        <w:rPr>
          <w:rFonts w:ascii="Arial" w:cs="Arial" w:eastAsia="Arial" w:hAnsi="Arial"/>
          <w:sz w:val="18"/>
          <w:szCs w:val="18"/>
          <w:u w:val="single" w:color="auto"/>
          <w:color w:val="0424FF"/>
        </w:rPr>
        <w:t>www.graco.com</w:t>
      </w:r>
      <w:r>
        <w:rPr>
          <w:rFonts w:ascii="Arial" w:cs="Arial" w:eastAsia="Arial" w:hAnsi="Arial"/>
          <w:sz w:val="18"/>
          <w:szCs w:val="18"/>
          <w:color w:val="auto"/>
        </w:rPr>
        <w:t xml:space="preserve"> and the Securities and Exchange Commission’s website at </w:t>
      </w:r>
      <w:r>
        <w:rPr>
          <w:rFonts w:ascii="Arial" w:cs="Arial" w:eastAsia="Arial" w:hAnsi="Arial"/>
          <w:sz w:val="18"/>
          <w:szCs w:val="18"/>
          <w:u w:val="single" w:color="auto"/>
          <w:color w:val="0424FF"/>
        </w:rPr>
        <w:t>www.sec.gov</w:t>
      </w:r>
      <w:r>
        <w:rPr>
          <w:rFonts w:ascii="Arial" w:cs="Arial" w:eastAsia="Arial" w:hAnsi="Arial"/>
          <w:sz w:val="18"/>
          <w:szCs w:val="18"/>
          <w:color w:val="auto"/>
        </w:rPr>
        <w:t>. Shareholders, potential investors and other readers are urged to consider these factors in evaluating forward-looking statements and are cautioned not to place undue reliance on such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Investors should realize that factors other than those identified above and in Item 1A might prove important to the Company’s future results. It is not possible for management to identify each and every factor that may have an impact on the Company’s operations in the future as new factors can develop from time to time.</w:t>
      </w:r>
    </w:p>
    <w:p>
      <w:pPr>
        <w:spacing w:after="0" w:line="201"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1"/>
          <w:szCs w:val="21"/>
          <w:b w:val="1"/>
          <w:bCs w:val="1"/>
          <w:color w:val="auto"/>
        </w:rPr>
        <w:t>Quantitative and Qualitative Disclosures About Market Risk</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related to market risk from the disclosures made in the 2025 Annual Report on Form 10-K.</w:t>
      </w:r>
    </w:p>
    <w:p>
      <w:pPr>
        <w:spacing w:after="0" w:line="25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21"/>
          <w:szCs w:val="21"/>
          <w:b w:val="1"/>
          <w:bCs w:val="1"/>
          <w:color w:val="auto"/>
        </w:rPr>
        <w:t>Controls and Procedures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the end of the fiscal quarter covered by this report, the Company carried out an evaluation of the effectiveness of the design and operation of its disclosure controls and procedures. This evaluation was done under the supervision and with the participation of the Company’s President and Chief Executive Officer and the Chief Financial Officer and Treasurer. Based upon that evaluation, the Company’s President and Chief Executive Officer and the Chief Financial Officer and Treasurer concluded that the Company’s disclosure controls and procedures are effective.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controls</w:t>
      </w:r>
    </w:p>
    <w:p>
      <w:pPr>
        <w:spacing w:after="0" w:line="252"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color w:val="auto"/>
        </w:rPr>
        <w:t>During the quarter, there was no change in the Company’s internal control over financial reporting that has materially affected or is reasonably likely to materially affect the Company’s internal control over financial reporting.</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740"/>
        <w:spacing w:after="0"/>
        <w:tabs>
          <w:tab w:leader="none" w:pos="1920" w:val="left"/>
        </w:tabs>
        <w:rPr>
          <w:sz w:val="20"/>
          <w:szCs w:val="20"/>
          <w:color w:val="auto"/>
        </w:rPr>
      </w:pPr>
      <w:r>
        <w:rPr>
          <w:rFonts w:ascii="Arial" w:cs="Arial" w:eastAsia="Arial" w:hAnsi="Arial"/>
          <w:sz w:val="22"/>
          <w:szCs w:val="22"/>
          <w:b w:val="1"/>
          <w:bCs w:val="1"/>
          <w:color w:val="auto"/>
        </w:rPr>
        <w:t>PART II</w:t>
      </w:r>
      <w:r>
        <w:rPr>
          <w:sz w:val="20"/>
          <w:szCs w:val="20"/>
          <w:color w:val="auto"/>
        </w:rPr>
        <w:tab/>
      </w:r>
      <w:r>
        <w:rPr>
          <w:rFonts w:ascii="Arial" w:cs="Arial" w:eastAsia="Arial" w:hAnsi="Arial"/>
          <w:sz w:val="21"/>
          <w:szCs w:val="21"/>
          <w:b w:val="1"/>
          <w:bCs w:val="1"/>
          <w:color w:val="auto"/>
        </w:rPr>
        <w:t>OTHER INFORMATION</w:t>
      </w:r>
    </w:p>
    <w:p>
      <w:pPr>
        <w:spacing w:after="0" w:line="24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21"/>
          <w:szCs w:val="21"/>
          <w:b w:val="1"/>
          <w:bCs w:val="1"/>
          <w:color w:val="auto"/>
        </w:rPr>
        <w:t>Risk Factors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There have been no material changes to the Company’s risk factors from those disclosed in the Company’s 2025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21"/>
          <w:szCs w:val="21"/>
          <w:b w:val="1"/>
          <w:bCs w:val="1"/>
          <w:color w:val="auto"/>
        </w:rPr>
        <w:t>Unregistered Sales of Equity Securities and Use of Proceeds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5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December 7, 2018, the Board of Directors authorized the purchase of up to 18 million shares of common stock, primarily through open market transactions. On December 5, 2025, the Board of Directors authorized the Company to purchase up to an additional 15 million shares of its outstanding stock, primarily through open-market transactions. The authorization is for an indefinite period of time or until terminated by the Board.</w:t>
      </w:r>
    </w:p>
    <w:p>
      <w:pPr>
        <w:spacing w:after="0" w:line="203"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In addition to shares purchased under the Board authorization, the Company purchases shares of common stock held by employees who wish to tender owned shares to satisfy the exercise price or tax due upon exercise of options or vesting of restricted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issuer purchases of equity securities follows: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Total Number of</w:t>
            </w:r>
          </w:p>
        </w:tc>
        <w:tc>
          <w:tcPr>
            <w:tcW w:w="2320" w:type="dxa"/>
            <w:vAlign w:val="bottom"/>
          </w:tcPr>
          <w:p>
            <w:pPr>
              <w:jc w:val="center"/>
              <w:spacing w:after="0"/>
              <w:rPr>
                <w:sz w:val="20"/>
                <w:szCs w:val="20"/>
                <w:color w:val="auto"/>
              </w:rPr>
            </w:pPr>
            <w:r>
              <w:rPr>
                <w:rFonts w:ascii="Arial" w:cs="Arial" w:eastAsia="Arial" w:hAnsi="Arial"/>
                <w:sz w:val="18"/>
                <w:szCs w:val="18"/>
                <w:color w:val="auto"/>
              </w:rPr>
              <w:t>Maximum Number of</w:t>
            </w:r>
          </w:p>
        </w:tc>
        <w:tc>
          <w:tcPr>
            <w:tcW w:w="0" w:type="dxa"/>
            <w:vAlign w:val="bottom"/>
          </w:tcPr>
          <w:p>
            <w:pPr>
              <w:spacing w:after="0"/>
              <w:rPr>
                <w:sz w:val="1"/>
                <w:szCs w:val="1"/>
                <w:color w:val="auto"/>
              </w:rPr>
            </w:pPr>
          </w:p>
        </w:tc>
      </w:tr>
      <w:tr>
        <w:trPr>
          <w:trHeight w:val="184"/>
        </w:trPr>
        <w:tc>
          <w:tcPr>
            <w:tcW w:w="3640" w:type="dxa"/>
            <w:vAlign w:val="bottom"/>
          </w:tcPr>
          <w:p>
            <w:pPr>
              <w:spacing w:after="0"/>
              <w:rPr>
                <w:sz w:val="15"/>
                <w:szCs w:val="15"/>
                <w:color w:val="auto"/>
              </w:rPr>
            </w:pPr>
          </w:p>
        </w:tc>
        <w:tc>
          <w:tcPr>
            <w:tcW w:w="1740" w:type="dxa"/>
            <w:vAlign w:val="bottom"/>
            <w:vMerge w:val="restart"/>
          </w:tcPr>
          <w:p>
            <w:pPr>
              <w:jc w:val="center"/>
              <w:ind w:left="230"/>
              <w:spacing w:after="0"/>
              <w:rPr>
                <w:sz w:val="20"/>
                <w:szCs w:val="20"/>
                <w:color w:val="auto"/>
              </w:rPr>
            </w:pPr>
            <w:r>
              <w:rPr>
                <w:rFonts w:ascii="Arial" w:cs="Arial" w:eastAsia="Arial" w:hAnsi="Arial"/>
                <w:sz w:val="18"/>
                <w:szCs w:val="18"/>
                <w:color w:val="auto"/>
                <w:w w:val="97"/>
              </w:rPr>
              <w:t>Total Number</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900" w:type="dxa"/>
            <w:vAlign w:val="bottom"/>
          </w:tcPr>
          <w:p>
            <w:pPr>
              <w:jc w:val="center"/>
              <w:spacing w:after="0" w:line="183" w:lineRule="exact"/>
              <w:rPr>
                <w:sz w:val="20"/>
                <w:szCs w:val="20"/>
                <w:color w:val="auto"/>
              </w:rPr>
            </w:pPr>
            <w:r>
              <w:rPr>
                <w:rFonts w:ascii="Arial" w:cs="Arial" w:eastAsia="Arial" w:hAnsi="Arial"/>
                <w:sz w:val="18"/>
                <w:szCs w:val="18"/>
                <w:color w:val="auto"/>
                <w:w w:val="99"/>
              </w:rPr>
              <w:t>Shares Purchased as</w:t>
            </w:r>
          </w:p>
        </w:tc>
        <w:tc>
          <w:tcPr>
            <w:tcW w:w="2320" w:type="dxa"/>
            <w:vAlign w:val="bottom"/>
          </w:tcPr>
          <w:p>
            <w:pPr>
              <w:jc w:val="center"/>
              <w:spacing w:after="0" w:line="183" w:lineRule="exact"/>
              <w:rPr>
                <w:sz w:val="20"/>
                <w:szCs w:val="20"/>
                <w:color w:val="auto"/>
              </w:rPr>
            </w:pPr>
            <w:r>
              <w:rPr>
                <w:rFonts w:ascii="Arial" w:cs="Arial" w:eastAsia="Arial" w:hAnsi="Arial"/>
                <w:sz w:val="18"/>
                <w:szCs w:val="18"/>
                <w:color w:val="auto"/>
                <w:w w:val="98"/>
              </w:rPr>
              <w:t>Shares that May Yet Be</w:t>
            </w:r>
          </w:p>
        </w:tc>
        <w:tc>
          <w:tcPr>
            <w:tcW w:w="0" w:type="dxa"/>
            <w:vAlign w:val="bottom"/>
          </w:tcPr>
          <w:p>
            <w:pPr>
              <w:spacing w:after="0"/>
              <w:rPr>
                <w:sz w:val="1"/>
                <w:szCs w:val="1"/>
                <w:color w:val="auto"/>
              </w:rPr>
            </w:pPr>
          </w:p>
        </w:tc>
      </w:tr>
      <w:tr>
        <w:trPr>
          <w:trHeight w:val="181"/>
        </w:trPr>
        <w:tc>
          <w:tcPr>
            <w:tcW w:w="364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vMerge w:val="restart"/>
          </w:tcPr>
          <w:p>
            <w:pPr>
              <w:jc w:val="right"/>
              <w:ind w:right="70"/>
              <w:spacing w:after="0"/>
              <w:rPr>
                <w:sz w:val="20"/>
                <w:szCs w:val="20"/>
                <w:color w:val="auto"/>
              </w:rPr>
            </w:pPr>
            <w:r>
              <w:rPr>
                <w:rFonts w:ascii="Arial" w:cs="Arial" w:eastAsia="Arial" w:hAnsi="Arial"/>
                <w:sz w:val="18"/>
                <w:szCs w:val="18"/>
                <w:color w:val="auto"/>
                <w:w w:val="97"/>
              </w:rPr>
              <w:t>Average Price</w:t>
            </w:r>
          </w:p>
        </w:tc>
        <w:tc>
          <w:tcPr>
            <w:tcW w:w="1900" w:type="dxa"/>
            <w:vAlign w:val="bottom"/>
          </w:tcPr>
          <w:p>
            <w:pPr>
              <w:jc w:val="center"/>
              <w:spacing w:after="0" w:line="181" w:lineRule="exact"/>
              <w:rPr>
                <w:sz w:val="20"/>
                <w:szCs w:val="20"/>
                <w:color w:val="auto"/>
              </w:rPr>
            </w:pPr>
            <w:r>
              <w:rPr>
                <w:rFonts w:ascii="Arial" w:cs="Arial" w:eastAsia="Arial" w:hAnsi="Arial"/>
                <w:sz w:val="18"/>
                <w:szCs w:val="18"/>
                <w:color w:val="auto"/>
                <w:w w:val="99"/>
              </w:rPr>
              <w:t>Part of Publicly</w:t>
            </w:r>
          </w:p>
        </w:tc>
        <w:tc>
          <w:tcPr>
            <w:tcW w:w="2320" w:type="dxa"/>
            <w:vAlign w:val="bottom"/>
          </w:tcPr>
          <w:p>
            <w:pPr>
              <w:jc w:val="center"/>
              <w:spacing w:after="0" w:line="181" w:lineRule="exact"/>
              <w:rPr>
                <w:sz w:val="20"/>
                <w:szCs w:val="20"/>
                <w:color w:val="auto"/>
              </w:rPr>
            </w:pPr>
            <w:r>
              <w:rPr>
                <w:rFonts w:ascii="Arial" w:cs="Arial" w:eastAsia="Arial" w:hAnsi="Arial"/>
                <w:sz w:val="18"/>
                <w:szCs w:val="18"/>
                <w:color w:val="auto"/>
                <w:w w:val="99"/>
              </w:rPr>
              <w:t>Purchased Under the Plans</w:t>
            </w:r>
          </w:p>
        </w:tc>
        <w:tc>
          <w:tcPr>
            <w:tcW w:w="0" w:type="dxa"/>
            <w:vAlign w:val="bottom"/>
          </w:tcPr>
          <w:p>
            <w:pPr>
              <w:spacing w:after="0"/>
              <w:rPr>
                <w:sz w:val="1"/>
                <w:szCs w:val="1"/>
                <w:color w:val="auto"/>
              </w:rPr>
            </w:pPr>
          </w:p>
        </w:tc>
      </w:tr>
      <w:tr>
        <w:trPr>
          <w:trHeight w:val="176"/>
        </w:trPr>
        <w:tc>
          <w:tcPr>
            <w:tcW w:w="3640" w:type="dxa"/>
            <w:vAlign w:val="bottom"/>
            <w:vMerge w:val="restart"/>
          </w:tcPr>
          <w:p>
            <w:pPr>
              <w:ind w:left="1680"/>
              <w:spacing w:after="0"/>
              <w:rPr>
                <w:sz w:val="20"/>
                <w:szCs w:val="20"/>
                <w:color w:val="auto"/>
              </w:rPr>
            </w:pPr>
            <w:r>
              <w:rPr>
                <w:rFonts w:ascii="Arial" w:cs="Arial" w:eastAsia="Arial" w:hAnsi="Arial"/>
                <w:sz w:val="18"/>
                <w:szCs w:val="18"/>
                <w:color w:val="auto"/>
              </w:rPr>
              <w:t>Period</w:t>
            </w:r>
          </w:p>
        </w:tc>
        <w:tc>
          <w:tcPr>
            <w:tcW w:w="1740" w:type="dxa"/>
            <w:vAlign w:val="bottom"/>
          </w:tcPr>
          <w:p>
            <w:pPr>
              <w:jc w:val="center"/>
              <w:ind w:left="230"/>
              <w:spacing w:after="0" w:line="176" w:lineRule="exact"/>
              <w:rPr>
                <w:sz w:val="20"/>
                <w:szCs w:val="20"/>
                <w:color w:val="auto"/>
              </w:rPr>
            </w:pPr>
            <w:r>
              <w:rPr>
                <w:rFonts w:ascii="Arial" w:cs="Arial" w:eastAsia="Arial" w:hAnsi="Arial"/>
                <w:sz w:val="18"/>
                <w:szCs w:val="18"/>
                <w:color w:val="auto"/>
              </w:rPr>
              <w:t>of Shares</w:t>
            </w:r>
          </w:p>
        </w:tc>
        <w:tc>
          <w:tcPr>
            <w:tcW w:w="2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900" w:type="dxa"/>
            <w:vAlign w:val="bottom"/>
          </w:tcPr>
          <w:p>
            <w:pPr>
              <w:jc w:val="center"/>
              <w:spacing w:after="0" w:line="176" w:lineRule="exact"/>
              <w:rPr>
                <w:sz w:val="20"/>
                <w:szCs w:val="20"/>
                <w:color w:val="auto"/>
              </w:rPr>
            </w:pPr>
            <w:r>
              <w:rPr>
                <w:rFonts w:ascii="Arial" w:cs="Arial" w:eastAsia="Arial" w:hAnsi="Arial"/>
                <w:sz w:val="18"/>
                <w:szCs w:val="18"/>
                <w:color w:val="auto"/>
                <w:w w:val="99"/>
              </w:rPr>
              <w:t>Announced Plans or</w:t>
            </w:r>
          </w:p>
        </w:tc>
        <w:tc>
          <w:tcPr>
            <w:tcW w:w="2320" w:type="dxa"/>
            <w:vAlign w:val="bottom"/>
          </w:tcPr>
          <w:p>
            <w:pPr>
              <w:jc w:val="center"/>
              <w:spacing w:after="0" w:line="176" w:lineRule="exact"/>
              <w:rPr>
                <w:sz w:val="20"/>
                <w:szCs w:val="20"/>
                <w:color w:val="auto"/>
              </w:rPr>
            </w:pPr>
            <w:r>
              <w:rPr>
                <w:rFonts w:ascii="Arial" w:cs="Arial" w:eastAsia="Arial" w:hAnsi="Arial"/>
                <w:sz w:val="18"/>
                <w:szCs w:val="18"/>
                <w:color w:val="auto"/>
              </w:rPr>
              <w:t>or Programs</w:t>
            </w:r>
          </w:p>
        </w:tc>
        <w:tc>
          <w:tcPr>
            <w:tcW w:w="0" w:type="dxa"/>
            <w:vAlign w:val="bottom"/>
          </w:tcPr>
          <w:p>
            <w:pPr>
              <w:spacing w:after="0"/>
              <w:rPr>
                <w:sz w:val="1"/>
                <w:szCs w:val="1"/>
                <w:color w:val="auto"/>
              </w:rPr>
            </w:pPr>
          </w:p>
        </w:tc>
      </w:tr>
      <w:tr>
        <w:trPr>
          <w:trHeight w:val="243"/>
        </w:trPr>
        <w:tc>
          <w:tcPr>
            <w:tcW w:w="3640" w:type="dxa"/>
            <w:vAlign w:val="bottom"/>
            <w:vMerge w:val="continue"/>
          </w:tcPr>
          <w:p>
            <w:pPr>
              <w:spacing w:after="0"/>
              <w:rPr>
                <w:sz w:val="21"/>
                <w:szCs w:val="21"/>
                <w:color w:val="auto"/>
              </w:rPr>
            </w:pPr>
          </w:p>
        </w:tc>
        <w:tc>
          <w:tcPr>
            <w:tcW w:w="1740" w:type="dxa"/>
            <w:vAlign w:val="bottom"/>
          </w:tcPr>
          <w:p>
            <w:pPr>
              <w:jc w:val="center"/>
              <w:ind w:left="230"/>
              <w:spacing w:after="0"/>
              <w:rPr>
                <w:sz w:val="20"/>
                <w:szCs w:val="20"/>
                <w:color w:val="auto"/>
              </w:rPr>
            </w:pPr>
            <w:r>
              <w:rPr>
                <w:rFonts w:ascii="Arial" w:cs="Arial" w:eastAsia="Arial" w:hAnsi="Arial"/>
                <w:sz w:val="18"/>
                <w:szCs w:val="18"/>
                <w:color w:val="auto"/>
                <w:w w:val="99"/>
              </w:rPr>
              <w:t>Purchased</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Paid per Share</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Programs</w:t>
            </w:r>
          </w:p>
        </w:tc>
        <w:tc>
          <w:tcPr>
            <w:tcW w:w="2320" w:type="dxa"/>
            <w:vAlign w:val="bottom"/>
          </w:tcPr>
          <w:p>
            <w:pPr>
              <w:jc w:val="center"/>
              <w:spacing w:after="0"/>
              <w:rPr>
                <w:sz w:val="20"/>
                <w:szCs w:val="20"/>
                <w:color w:val="auto"/>
              </w:rPr>
            </w:pPr>
            <w:r>
              <w:rPr>
                <w:rFonts w:ascii="Arial" w:cs="Arial" w:eastAsia="Arial" w:hAnsi="Arial"/>
                <w:sz w:val="18"/>
                <w:szCs w:val="18"/>
                <w:color w:val="auto"/>
                <w:w w:val="99"/>
              </w:rPr>
              <w:t>(at end of period)</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28, 2025 - January 23, 2026</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4,692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81.99</w:t>
            </w:r>
          </w:p>
        </w:tc>
        <w:tc>
          <w:tcPr>
            <w:tcW w:w="1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4,692</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22,992,246</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January 24, 2026 - February 20, 2026</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320" w:type="dxa"/>
            <w:vAlign w:val="bottom"/>
          </w:tcPr>
          <w:p>
            <w:pPr>
              <w:jc w:val="right"/>
              <w:spacing w:after="0"/>
              <w:rPr>
                <w:sz w:val="20"/>
                <w:szCs w:val="20"/>
                <w:color w:val="auto"/>
              </w:rPr>
            </w:pPr>
            <w:r>
              <w:rPr>
                <w:rFonts w:ascii="Arial" w:cs="Arial" w:eastAsia="Arial" w:hAnsi="Arial"/>
                <w:sz w:val="18"/>
                <w:szCs w:val="18"/>
                <w:color w:val="auto"/>
              </w:rPr>
              <w:t>22,992,246</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21, 2026 - March 27, 2026</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184,728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84.29</w:t>
            </w:r>
          </w:p>
        </w:tc>
        <w:tc>
          <w:tcPr>
            <w:tcW w:w="1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184,728</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22,807,518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21"/>
          <w:szCs w:val="21"/>
          <w:b w:val="1"/>
          <w:bCs w:val="1"/>
          <w:color w:val="auto"/>
        </w:rPr>
        <w:t>Other Information</w:t>
      </w:r>
    </w:p>
    <w:p>
      <w:pPr>
        <w:spacing w:after="0" w:line="2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three months ended March 27, 2026, none of the Company’s directors or officers (as defined in Rule 16a-1(f) of the Securities Exchange Act of 1934) adopted, terminated or modified a Rule 10b5-1 trading arrangement or non-Rule 10b5-1 trading arrangement (as such terms are defined in Item 408 of Regulation S-K of the Securities Act of 1933).</w:t>
      </w:r>
    </w:p>
    <w:p>
      <w:pPr>
        <w:spacing w:after="0" w:line="200" w:lineRule="exact"/>
        <w:rPr>
          <w:sz w:val="20"/>
          <w:szCs w:val="20"/>
          <w:color w:val="auto"/>
        </w:rPr>
      </w:pPr>
    </w:p>
    <w:p>
      <w:pPr>
        <w:spacing w:after="0" w:line="237"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30" w:right="69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21"/>
          <w:szCs w:val="21"/>
          <w:b w:val="1"/>
          <w:bCs w:val="1"/>
          <w:color w:val="auto"/>
        </w:rPr>
        <w:t>Exhibits</w:t>
      </w:r>
    </w:p>
    <w:p>
      <w:pPr>
        <w:spacing w:after="0" w:line="135" w:lineRule="exact"/>
        <w:rPr>
          <w:sz w:val="20"/>
          <w:szCs w:val="20"/>
          <w:color w:val="auto"/>
        </w:rPr>
      </w:pPr>
    </w:p>
    <w:p>
      <w:pPr>
        <w:ind w:left="1180" w:right="219" w:hanging="438"/>
        <w:spacing w:after="0"/>
        <w:tabs>
          <w:tab w:leader="none" w:pos="1160" w:val="left"/>
        </w:tabs>
        <w:rPr>
          <w:rFonts w:ascii="Arial" w:cs="Arial" w:eastAsia="Arial" w:hAnsi="Arial"/>
          <w:sz w:val="18"/>
          <w:szCs w:val="18"/>
          <w:color w:val="0000FF"/>
        </w:rPr>
      </w:pPr>
      <w:r>
        <w:rPr>
          <w:rFonts w:ascii="Arial" w:cs="Arial" w:eastAsia="Arial" w:hAnsi="Arial"/>
          <w:sz w:val="18"/>
          <w:szCs w:val="18"/>
          <w:color w:val="auto"/>
        </w:rPr>
        <w:t>3.1</w:t>
        <w:tab/>
      </w:r>
      <w:hyperlink r:id="rId35">
        <w:r>
          <w:rPr>
            <w:rFonts w:ascii="Arial" w:cs="Arial" w:eastAsia="Arial" w:hAnsi="Arial"/>
            <w:sz w:val="18"/>
            <w:szCs w:val="18"/>
            <w:color w:val="auto"/>
          </w:rPr>
          <w:t>Restated Articles of Incorporation as amended December 8, 2017. (</w:t>
        </w:r>
        <w:r>
          <w:rPr>
            <w:rFonts w:ascii="Arial" w:cs="Arial" w:eastAsia="Arial" w:hAnsi="Arial"/>
            <w:sz w:val="18"/>
            <w:szCs w:val="18"/>
            <w:u w:val="single" w:color="auto"/>
            <w:color w:val="0000FF"/>
          </w:rPr>
          <w:t>Incorporated by reference to Exhibit 3.1 to</w:t>
        </w:r>
      </w:hyperlink>
      <w:r>
        <w:rPr>
          <w:rFonts w:ascii="Arial" w:cs="Arial" w:eastAsia="Arial" w:hAnsi="Arial"/>
          <w:sz w:val="18"/>
          <w:szCs w:val="18"/>
          <w:color w:val="auto"/>
        </w:rPr>
        <w:t xml:space="preserve"> </w:t>
      </w:r>
      <w:hyperlink r:id="rId35">
        <w:r>
          <w:rPr>
            <w:rFonts w:ascii="Arial" w:cs="Arial" w:eastAsia="Arial" w:hAnsi="Arial"/>
            <w:sz w:val="18"/>
            <w:szCs w:val="18"/>
            <w:u w:val="single" w:color="auto"/>
            <w:color w:val="0000FF"/>
          </w:rPr>
          <w:t>the Company's Report on Form 8-K filed December 8, 2017.</w:t>
        </w:r>
        <w:r>
          <w:rPr>
            <w:rFonts w:ascii="Arial" w:cs="Arial" w:eastAsia="Arial" w:hAnsi="Arial"/>
            <w:sz w:val="18"/>
            <w:szCs w:val="18"/>
            <w:color w:val="000000"/>
          </w:rPr>
          <w:t>)</w:t>
        </w:r>
      </w:hyperlink>
    </w:p>
    <w:p>
      <w:pPr>
        <w:spacing w:after="0" w:line="45" w:lineRule="exact"/>
        <w:rPr>
          <w:sz w:val="20"/>
          <w:szCs w:val="20"/>
          <w:color w:val="auto"/>
        </w:rPr>
      </w:pPr>
    </w:p>
    <w:p>
      <w:pPr>
        <w:ind w:left="740"/>
        <w:spacing w:after="0"/>
        <w:tabs>
          <w:tab w:leader="none" w:pos="1160" w:val="left"/>
        </w:tabs>
        <w:rPr>
          <w:rFonts w:ascii="Arial" w:cs="Arial" w:eastAsia="Arial" w:hAnsi="Arial"/>
          <w:sz w:val="17"/>
          <w:szCs w:val="17"/>
          <w:color w:val="auto"/>
        </w:rPr>
      </w:pPr>
      <w:r>
        <w:rPr>
          <w:rFonts w:ascii="Arial" w:cs="Arial" w:eastAsia="Arial" w:hAnsi="Arial"/>
          <w:sz w:val="18"/>
          <w:szCs w:val="18"/>
          <w:color w:val="auto"/>
        </w:rPr>
        <w:t>3.2</w:t>
      </w:r>
      <w:r>
        <w:rPr>
          <w:sz w:val="20"/>
          <w:szCs w:val="20"/>
          <w:color w:val="auto"/>
        </w:rPr>
        <w:tab/>
      </w:r>
      <w:hyperlink r:id="rId36">
        <w:r>
          <w:rPr>
            <w:rFonts w:ascii="Arial" w:cs="Arial" w:eastAsia="Arial" w:hAnsi="Arial"/>
            <w:sz w:val="17"/>
            <w:szCs w:val="17"/>
            <w:color w:val="auto"/>
          </w:rPr>
          <w:t xml:space="preserve">Restated Bylaws as amended February 17, 2023. </w:t>
        </w:r>
        <w:r>
          <w:rPr>
            <w:rFonts w:ascii="Arial" w:cs="Arial" w:eastAsia="Arial" w:hAnsi="Arial"/>
            <w:sz w:val="17"/>
            <w:szCs w:val="17"/>
            <w:u w:val="single" w:color="auto"/>
            <w:color w:val="0000FF"/>
          </w:rPr>
          <w:t>(Incorporated by reference to Exhibit 3.2 to the Company’s</w:t>
        </w:r>
      </w:hyperlink>
    </w:p>
    <w:p>
      <w:pPr>
        <w:ind w:left="1180"/>
        <w:spacing w:after="0"/>
        <w:rPr>
          <w:rFonts w:ascii="Arial" w:cs="Arial" w:eastAsia="Arial" w:hAnsi="Arial"/>
          <w:sz w:val="18"/>
          <w:szCs w:val="18"/>
          <w:color w:val="0000FF"/>
        </w:rPr>
      </w:pPr>
      <w:hyperlink r:id="rId36">
        <w:r>
          <w:rPr>
            <w:rFonts w:ascii="Arial" w:cs="Arial" w:eastAsia="Arial" w:hAnsi="Arial"/>
            <w:sz w:val="18"/>
            <w:szCs w:val="18"/>
            <w:u w:val="single" w:color="auto"/>
            <w:color w:val="0000FF"/>
          </w:rPr>
          <w:t>2024 Annual Report on Form 10-K.</w:t>
        </w:r>
        <w:r>
          <w:rPr>
            <w:rFonts w:ascii="Arial" w:cs="Arial" w:eastAsia="Arial" w:hAnsi="Arial"/>
            <w:sz w:val="18"/>
            <w:szCs w:val="18"/>
            <w:color w:val="000000"/>
          </w:rPr>
          <w:t>)</w:t>
        </w:r>
      </w:hyperlink>
    </w:p>
    <w:p>
      <w:pPr>
        <w:spacing w:after="0" w:line="72" w:lineRule="exact"/>
        <w:rPr>
          <w:sz w:val="20"/>
          <w:szCs w:val="20"/>
          <w:color w:val="auto"/>
        </w:rPr>
      </w:pPr>
    </w:p>
    <w:p>
      <w:pPr>
        <w:ind w:left="1180" w:right="319" w:hanging="479"/>
        <w:spacing w:after="0"/>
        <w:rPr>
          <w:rFonts w:ascii="Arial" w:cs="Arial" w:eastAsia="Arial" w:hAnsi="Arial"/>
          <w:sz w:val="18"/>
          <w:szCs w:val="18"/>
          <w:color w:val="0000FF"/>
        </w:rPr>
      </w:pPr>
      <w:r>
        <w:rPr>
          <w:rFonts w:ascii="Arial" w:cs="Arial" w:eastAsia="Arial" w:hAnsi="Arial"/>
          <w:sz w:val="18"/>
          <w:szCs w:val="18"/>
          <w:color w:val="auto"/>
        </w:rPr>
        <w:t xml:space="preserve">10.1 </w:t>
      </w:r>
      <w:hyperlink r:id="rId37">
        <w:r>
          <w:rPr>
            <w:rFonts w:ascii="Arial" w:cs="Arial" w:eastAsia="Arial" w:hAnsi="Arial"/>
            <w:sz w:val="18"/>
            <w:szCs w:val="18"/>
            <w:color w:val="auto"/>
          </w:rPr>
          <w:t>Form of Executive Officer Restricted Stock Until Agreement. (</w:t>
        </w:r>
        <w:r>
          <w:rPr>
            <w:rFonts w:ascii="Arial" w:cs="Arial" w:eastAsia="Arial" w:hAnsi="Arial"/>
            <w:sz w:val="18"/>
            <w:szCs w:val="18"/>
            <w:u w:val="single" w:color="auto"/>
            <w:color w:val="0000FF"/>
          </w:rPr>
          <w:t>Incorporated by reference to Exhibit 10.1 to the</w:t>
        </w:r>
      </w:hyperlink>
      <w:r>
        <w:rPr>
          <w:rFonts w:ascii="Arial" w:cs="Arial" w:eastAsia="Arial" w:hAnsi="Arial"/>
          <w:sz w:val="18"/>
          <w:szCs w:val="18"/>
          <w:color w:val="auto"/>
        </w:rPr>
        <w:t xml:space="preserve"> </w:t>
      </w:r>
      <w:hyperlink r:id="rId37">
        <w:r>
          <w:rPr>
            <w:rFonts w:ascii="Arial" w:cs="Arial" w:eastAsia="Arial" w:hAnsi="Arial"/>
            <w:sz w:val="18"/>
            <w:szCs w:val="18"/>
            <w:u w:val="single" w:color="auto"/>
            <w:color w:val="0000FF"/>
          </w:rPr>
          <w:t>Company's Report on Form 8-K filed March 2, 2026</w:t>
        </w:r>
        <w:r>
          <w:rPr>
            <w:rFonts w:ascii="Arial" w:cs="Arial" w:eastAsia="Arial" w:hAnsi="Arial"/>
            <w:sz w:val="18"/>
            <w:szCs w:val="18"/>
            <w:color w:val="000000"/>
          </w:rPr>
          <w:t>.)</w:t>
        </w:r>
      </w:hyperlink>
    </w:p>
    <w:p>
      <w:pPr>
        <w:spacing w:after="0" w:line="59"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0000FF"/>
        </w:rPr>
        <w:t>31.1</w:t>
      </w:r>
      <w:r>
        <w:rPr>
          <w:rFonts w:ascii="Arial" w:cs="Arial" w:eastAsia="Arial" w:hAnsi="Arial"/>
          <w:sz w:val="18"/>
          <w:szCs w:val="18"/>
          <w:color w:val="0000FF"/>
        </w:rPr>
        <w:t xml:space="preserve">  </w:t>
      </w:r>
      <w:r>
        <w:rPr>
          <w:rFonts w:ascii="Arial" w:cs="Arial" w:eastAsia="Arial" w:hAnsi="Arial"/>
          <w:sz w:val="18"/>
          <w:szCs w:val="18"/>
          <w:color w:val="000000"/>
        </w:rPr>
        <w:t>Certification of President and Chief Executive Officer pursuant to Rule 13a-14(a).</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0000FF"/>
        </w:rPr>
        <w:t>31.2</w:t>
      </w:r>
      <w:r>
        <w:rPr>
          <w:rFonts w:ascii="Arial" w:cs="Arial" w:eastAsia="Arial" w:hAnsi="Arial"/>
          <w:sz w:val="18"/>
          <w:szCs w:val="18"/>
          <w:color w:val="0000FF"/>
        </w:rPr>
        <w:t xml:space="preserve">  </w:t>
      </w:r>
      <w:r>
        <w:rPr>
          <w:rFonts w:ascii="Arial" w:cs="Arial" w:eastAsia="Arial" w:hAnsi="Arial"/>
          <w:sz w:val="18"/>
          <w:szCs w:val="18"/>
          <w:color w:val="000000"/>
        </w:rPr>
        <w:t>Certification of Chief Financial Officer and Treasurer pursuant to Rule 13a-14(a).</w:t>
      </w:r>
    </w:p>
    <w:p>
      <w:pPr>
        <w:spacing w:after="0" w:line="77" w:lineRule="exact"/>
        <w:rPr>
          <w:sz w:val="20"/>
          <w:szCs w:val="20"/>
          <w:color w:val="auto"/>
        </w:rPr>
      </w:pPr>
    </w:p>
    <w:p>
      <w:pPr>
        <w:ind w:left="1180" w:right="479" w:hanging="337"/>
        <w:spacing w:after="0"/>
        <w:tabs>
          <w:tab w:leader="none" w:pos="1180" w:val="left"/>
        </w:tabs>
        <w:numPr>
          <w:ilvl w:val="0"/>
          <w:numId w:val="5"/>
        </w:numPr>
        <w:rPr>
          <w:rFonts w:ascii="Arial" w:cs="Arial" w:eastAsia="Arial" w:hAnsi="Arial"/>
          <w:sz w:val="18"/>
          <w:szCs w:val="18"/>
          <w:u w:val="single" w:color="auto"/>
          <w:color w:val="0000FF"/>
        </w:rPr>
      </w:pPr>
      <w:r>
        <w:rPr>
          <w:rFonts w:ascii="Arial" w:cs="Arial" w:eastAsia="Arial" w:hAnsi="Arial"/>
          <w:sz w:val="18"/>
          <w:szCs w:val="18"/>
          <w:color w:val="auto"/>
        </w:rPr>
        <w:t>Certification of President and Chief Executive Officer and Chief Financial Officer and Treasurer pursuant to Section 1350 of Title 18, U.S.C.</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0000FF"/>
        </w:rPr>
        <w:t>99.1</w:t>
      </w:r>
      <w:r>
        <w:rPr>
          <w:rFonts w:ascii="Arial" w:cs="Arial" w:eastAsia="Arial" w:hAnsi="Arial"/>
          <w:sz w:val="18"/>
          <w:szCs w:val="18"/>
          <w:color w:val="0000FF"/>
        </w:rPr>
        <w:t xml:space="preserve">  </w:t>
      </w:r>
      <w:r>
        <w:rPr>
          <w:rFonts w:ascii="Arial" w:cs="Arial" w:eastAsia="Arial" w:hAnsi="Arial"/>
          <w:sz w:val="18"/>
          <w:szCs w:val="18"/>
          <w:color w:val="000000"/>
        </w:rPr>
        <w:t>Press Release Reporting First Quarter Earnings dated April 22, 2026.</w:t>
      </w:r>
    </w:p>
    <w:p>
      <w:pPr>
        <w:spacing w:after="0" w:line="77" w:lineRule="exact"/>
        <w:rPr>
          <w:sz w:val="20"/>
          <w:szCs w:val="20"/>
          <w:color w:val="auto"/>
        </w:rPr>
      </w:pPr>
    </w:p>
    <w:p>
      <w:pPr>
        <w:ind w:left="1180" w:right="419" w:hanging="49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 formatted in iXBRL (Inline eXtensible Business Reporting Language).</w:t>
      </w:r>
    </w:p>
    <w:p>
      <w:pPr>
        <w:spacing w:after="0" w:line="59" w:lineRule="exact"/>
        <w:rPr>
          <w:sz w:val="20"/>
          <w:szCs w:val="20"/>
          <w:color w:val="auto"/>
        </w:rPr>
      </w:pPr>
    </w:p>
    <w:p>
      <w:pPr>
        <w:ind w:left="680"/>
        <w:spacing w:after="0"/>
        <w:tabs>
          <w:tab w:leader="none" w:pos="11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Cover Page Interactive Data File (formatted as iXBRL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SIGNATURES</w:t>
      </w:r>
    </w:p>
    <w:p>
      <w:pPr>
        <w:spacing w:after="0" w:line="25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GRACO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24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April 22, 2026</w:t>
            </w:r>
          </w:p>
        </w:tc>
        <w:tc>
          <w:tcPr>
            <w:tcW w:w="860" w:type="dxa"/>
            <w:vAlign w:val="bottom"/>
          </w:tcPr>
          <w:p>
            <w:pPr>
              <w:ind w:left="120"/>
              <w:spacing w:after="0"/>
              <w:rPr>
                <w:sz w:val="20"/>
                <w:szCs w:val="20"/>
                <w:color w:val="auto"/>
              </w:rPr>
            </w:pPr>
            <w:r>
              <w:rPr>
                <w:rFonts w:ascii="Arial" w:cs="Arial" w:eastAsia="Arial" w:hAnsi="Arial"/>
                <w:sz w:val="18"/>
                <w:szCs w:val="18"/>
                <w:color w:val="auto"/>
              </w:rPr>
              <w:t>By:</w:t>
            </w:r>
          </w:p>
        </w:tc>
        <w:tc>
          <w:tcPr>
            <w:tcW w:w="69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Mark W. Sheahan</w:t>
            </w:r>
          </w:p>
        </w:tc>
      </w:tr>
      <w:tr>
        <w:trPr>
          <w:trHeight w:val="218"/>
        </w:trPr>
        <w:tc>
          <w:tcPr>
            <w:tcW w:w="8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980" w:type="dxa"/>
            <w:vAlign w:val="bottom"/>
          </w:tcPr>
          <w:p>
            <w:pPr>
              <w:ind w:left="220"/>
              <w:spacing w:after="0"/>
              <w:rPr>
                <w:sz w:val="20"/>
                <w:szCs w:val="20"/>
                <w:color w:val="auto"/>
              </w:rPr>
            </w:pPr>
            <w:r>
              <w:rPr>
                <w:rFonts w:ascii="Arial" w:cs="Arial" w:eastAsia="Arial" w:hAnsi="Arial"/>
                <w:sz w:val="18"/>
                <w:szCs w:val="18"/>
                <w:color w:val="auto"/>
              </w:rPr>
              <w:t>Mark W. Sheahan</w:t>
            </w:r>
          </w:p>
        </w:tc>
      </w:tr>
      <w:tr>
        <w:trPr>
          <w:trHeight w:val="232"/>
        </w:trPr>
        <w:tc>
          <w:tcPr>
            <w:tcW w:w="8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98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237"/>
        </w:trPr>
        <w:tc>
          <w:tcPr>
            <w:tcW w:w="8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980" w:type="dxa"/>
            <w:vAlign w:val="bottom"/>
          </w:tcPr>
          <w:p>
            <w:pPr>
              <w:ind w:left="220"/>
              <w:spacing w:after="0"/>
              <w:rPr>
                <w:sz w:val="20"/>
                <w:szCs w:val="20"/>
                <w:color w:val="auto"/>
              </w:rPr>
            </w:pPr>
            <w:r>
              <w:rPr>
                <w:rFonts w:ascii="Arial" w:cs="Arial" w:eastAsia="Arial" w:hAnsi="Arial"/>
                <w:sz w:val="18"/>
                <w:szCs w:val="18"/>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24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April 22, 2026</w:t>
            </w:r>
          </w:p>
        </w:tc>
        <w:tc>
          <w:tcPr>
            <w:tcW w:w="860" w:type="dxa"/>
            <w:vAlign w:val="bottom"/>
          </w:tcPr>
          <w:p>
            <w:pPr>
              <w:ind w:left="120"/>
              <w:spacing w:after="0"/>
              <w:rPr>
                <w:sz w:val="20"/>
                <w:szCs w:val="20"/>
                <w:color w:val="auto"/>
              </w:rPr>
            </w:pPr>
            <w:r>
              <w:rPr>
                <w:rFonts w:ascii="Arial" w:cs="Arial" w:eastAsia="Arial" w:hAnsi="Arial"/>
                <w:sz w:val="18"/>
                <w:szCs w:val="18"/>
                <w:color w:val="auto"/>
              </w:rPr>
              <w:t>By:</w:t>
            </w:r>
          </w:p>
        </w:tc>
        <w:tc>
          <w:tcPr>
            <w:tcW w:w="69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Sanjiv Gupta</w:t>
            </w:r>
          </w:p>
        </w:tc>
      </w:tr>
      <w:tr>
        <w:trPr>
          <w:trHeight w:val="218"/>
        </w:trPr>
        <w:tc>
          <w:tcPr>
            <w:tcW w:w="8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980" w:type="dxa"/>
            <w:vAlign w:val="bottom"/>
          </w:tcPr>
          <w:p>
            <w:pPr>
              <w:ind w:left="220"/>
              <w:spacing w:after="0"/>
              <w:rPr>
                <w:sz w:val="20"/>
                <w:szCs w:val="20"/>
                <w:color w:val="auto"/>
              </w:rPr>
            </w:pPr>
            <w:r>
              <w:rPr>
                <w:rFonts w:ascii="Arial" w:cs="Arial" w:eastAsia="Arial" w:hAnsi="Arial"/>
                <w:sz w:val="18"/>
                <w:szCs w:val="18"/>
                <w:color w:val="auto"/>
              </w:rPr>
              <w:t>Sanjiv Gupta</w:t>
            </w:r>
          </w:p>
        </w:tc>
      </w:tr>
      <w:tr>
        <w:trPr>
          <w:trHeight w:val="232"/>
        </w:trPr>
        <w:tc>
          <w:tcPr>
            <w:tcW w:w="8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980" w:type="dxa"/>
            <w:vAlign w:val="bottom"/>
          </w:tcPr>
          <w:p>
            <w:pPr>
              <w:ind w:left="220"/>
              <w:spacing w:after="0"/>
              <w:rPr>
                <w:sz w:val="20"/>
                <w:szCs w:val="20"/>
                <w:color w:val="auto"/>
              </w:rPr>
            </w:pPr>
            <w:r>
              <w:rPr>
                <w:rFonts w:ascii="Arial" w:cs="Arial" w:eastAsia="Arial" w:hAnsi="Arial"/>
                <w:sz w:val="18"/>
                <w:szCs w:val="18"/>
                <w:color w:val="auto"/>
              </w:rPr>
              <w:t>Chief Financial Officer and Treasurer</w:t>
            </w:r>
          </w:p>
        </w:tc>
      </w:tr>
      <w:tr>
        <w:trPr>
          <w:trHeight w:val="237"/>
        </w:trPr>
        <w:tc>
          <w:tcPr>
            <w:tcW w:w="8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980" w:type="dxa"/>
            <w:vAlign w:val="bottom"/>
          </w:tcPr>
          <w:p>
            <w:pPr>
              <w:ind w:left="2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24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April 22, 2026</w:t>
            </w:r>
          </w:p>
        </w:tc>
        <w:tc>
          <w:tcPr>
            <w:tcW w:w="860" w:type="dxa"/>
            <w:vAlign w:val="bottom"/>
          </w:tcPr>
          <w:p>
            <w:pPr>
              <w:ind w:left="120"/>
              <w:spacing w:after="0"/>
              <w:rPr>
                <w:sz w:val="20"/>
                <w:szCs w:val="20"/>
                <w:color w:val="auto"/>
              </w:rPr>
            </w:pPr>
            <w:r>
              <w:rPr>
                <w:rFonts w:ascii="Arial" w:cs="Arial" w:eastAsia="Arial" w:hAnsi="Arial"/>
                <w:sz w:val="18"/>
                <w:szCs w:val="18"/>
                <w:color w:val="auto"/>
              </w:rPr>
              <w:t>By:</w:t>
            </w:r>
          </w:p>
        </w:tc>
        <w:tc>
          <w:tcPr>
            <w:tcW w:w="69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Christopher D. Knutson</w:t>
            </w:r>
          </w:p>
        </w:tc>
      </w:tr>
      <w:tr>
        <w:trPr>
          <w:trHeight w:val="218"/>
        </w:trPr>
        <w:tc>
          <w:tcPr>
            <w:tcW w:w="8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980" w:type="dxa"/>
            <w:vAlign w:val="bottom"/>
          </w:tcPr>
          <w:p>
            <w:pPr>
              <w:ind w:left="220"/>
              <w:spacing w:after="0"/>
              <w:rPr>
                <w:sz w:val="20"/>
                <w:szCs w:val="20"/>
                <w:color w:val="auto"/>
              </w:rPr>
            </w:pPr>
            <w:r>
              <w:rPr>
                <w:rFonts w:ascii="Arial" w:cs="Arial" w:eastAsia="Arial" w:hAnsi="Arial"/>
                <w:sz w:val="18"/>
                <w:szCs w:val="18"/>
                <w:color w:val="auto"/>
              </w:rPr>
              <w:t>Christopher D. Knutson</w:t>
            </w:r>
          </w:p>
        </w:tc>
      </w:tr>
      <w:tr>
        <w:trPr>
          <w:trHeight w:val="231"/>
        </w:trPr>
        <w:tc>
          <w:tcPr>
            <w:tcW w:w="8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980" w:type="dxa"/>
            <w:vAlign w:val="bottom"/>
          </w:tcPr>
          <w:p>
            <w:pPr>
              <w:ind w:left="220"/>
              <w:spacing w:after="0"/>
              <w:rPr>
                <w:sz w:val="20"/>
                <w:szCs w:val="20"/>
                <w:color w:val="auto"/>
              </w:rPr>
            </w:pPr>
            <w:r>
              <w:rPr>
                <w:rFonts w:ascii="Arial" w:cs="Arial" w:eastAsia="Arial" w:hAnsi="Arial"/>
                <w:sz w:val="18"/>
                <w:szCs w:val="18"/>
                <w:color w:val="auto"/>
              </w:rPr>
              <w:t>Vice President, Controller and Chief Accounting Officer</w:t>
            </w:r>
          </w:p>
        </w:tc>
      </w:tr>
      <w:tr>
        <w:trPr>
          <w:trHeight w:val="237"/>
        </w:trPr>
        <w:tc>
          <w:tcPr>
            <w:tcW w:w="8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980" w:type="dxa"/>
            <w:vAlign w:val="bottom"/>
          </w:tcPr>
          <w:p>
            <w:pPr>
              <w:ind w:left="220"/>
              <w:spacing w:after="0"/>
              <w:rPr>
                <w:sz w:val="20"/>
                <w:szCs w:val="20"/>
                <w:color w:val="auto"/>
              </w:rPr>
            </w:pPr>
            <w:r>
              <w:rPr>
                <w:rFonts w:ascii="Arial" w:cs="Arial" w:eastAsia="Arial" w:hAnsi="Arial"/>
                <w:sz w:val="18"/>
                <w:szCs w:val="18"/>
                <w:i w:val="1"/>
                <w:iCs w:val="1"/>
                <w:color w:val="auto"/>
              </w:rPr>
              <w:t>(Principal Accounting Officer)</w:t>
            </w:r>
          </w:p>
        </w:tc>
      </w:tr>
    </w:tbl>
    <w:p>
      <w:pPr>
        <w:sectPr>
          <w:pgSz w:w="11900" w:h="16838" w:orient="portrait"/>
          <w:cols w:equalWidth="0" w:num="1">
            <w:col w:w="11220"/>
          </w:cols>
          <w:pgMar w:left="320" w:top="130" w:right="359" w:bottom="1440" w:gutter="0" w:footer="0" w:header="0"/>
        </w:sectPr>
      </w:pPr>
    </w:p>
    <w:bookmarkStart w:id="25" w:name="page26"/>
    <w:bookmarkEnd w:id="25"/>
    <w:p>
      <w:pPr>
        <w:jc w:val="right"/>
        <w:ind w:right="40"/>
        <w:spacing w:after="0"/>
        <w:rPr>
          <w:sz w:val="20"/>
          <w:szCs w:val="20"/>
          <w:color w:val="auto"/>
        </w:rPr>
      </w:pPr>
      <w:r>
        <w:rPr>
          <w:rFonts w:ascii="Arial" w:cs="Arial" w:eastAsia="Arial" w:hAnsi="Arial"/>
          <w:sz w:val="18"/>
          <w:szCs w:val="18"/>
          <w:color w:val="auto"/>
        </w:rPr>
        <w:t>Exhibit 31.1</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Mark W. Sheahan, certify that:</w:t>
      </w:r>
    </w:p>
    <w:p>
      <w:pPr>
        <w:spacing w:after="0" w:line="225" w:lineRule="exact"/>
        <w:rPr>
          <w:sz w:val="20"/>
          <w:szCs w:val="20"/>
          <w:color w:val="auto"/>
        </w:rPr>
      </w:pPr>
    </w:p>
    <w:p>
      <w:pPr>
        <w:ind w:left="640" w:hanging="63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Graco Inc.;</w:t>
      </w:r>
    </w:p>
    <w:p>
      <w:pPr>
        <w:spacing w:after="0" w:line="225"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8"/>
          <w:szCs w:val="18"/>
          <w:color w:val="auto"/>
        </w:rPr>
      </w:pPr>
    </w:p>
    <w:p>
      <w:pPr>
        <w:jc w:val="both"/>
        <w:ind w:left="820" w:right="140" w:hanging="650"/>
        <w:spacing w:after="0" w:line="268" w:lineRule="auto"/>
        <w:tabs>
          <w:tab w:leader="none" w:pos="808"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ind w:left="820" w:right="500" w:hanging="650"/>
        <w:spacing w:after="0" w:line="268" w:lineRule="auto"/>
        <w:tabs>
          <w:tab w:leader="none" w:pos="808"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ind w:left="820" w:right="40" w:hanging="650"/>
        <w:spacing w:after="0" w:line="268" w:lineRule="auto"/>
        <w:tabs>
          <w:tab w:leader="none" w:pos="811"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820" w:right="240" w:hanging="650"/>
        <w:spacing w:after="0" w:line="268" w:lineRule="auto"/>
        <w:tabs>
          <w:tab w:leader="none" w:pos="808"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660" w:right="360" w:hanging="652"/>
        <w:spacing w:after="0" w:line="287" w:lineRule="auto"/>
        <w:tabs>
          <w:tab w:leader="none" w:pos="64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53" w:lineRule="exact"/>
        <w:rPr>
          <w:sz w:val="20"/>
          <w:szCs w:val="20"/>
          <w:color w:val="auto"/>
        </w:rPr>
      </w:pPr>
    </w:p>
    <w:p>
      <w:pPr>
        <w:ind w:left="820" w:right="100" w:hanging="650"/>
        <w:spacing w:after="0" w:line="287" w:lineRule="auto"/>
        <w:tabs>
          <w:tab w:leader="none" w:pos="818"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8"/>
          <w:szCs w:val="18"/>
          <w:color w:val="auto"/>
        </w:rPr>
      </w:pPr>
    </w:p>
    <w:p>
      <w:pPr>
        <w:ind w:left="820" w:right="340" w:hanging="650"/>
        <w:spacing w:after="0" w:line="287" w:lineRule="auto"/>
        <w:tabs>
          <w:tab w:leader="none" w:pos="818"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April 22, 2026</w:t>
            </w:r>
          </w:p>
        </w:tc>
        <w:tc>
          <w:tcPr>
            <w:tcW w:w="5800" w:type="dxa"/>
            <w:vAlign w:val="bottom"/>
          </w:tcPr>
          <w:p>
            <w:pPr>
              <w:ind w:left="220"/>
              <w:spacing w:after="0"/>
              <w:rPr>
                <w:sz w:val="20"/>
                <w:szCs w:val="20"/>
                <w:color w:val="auto"/>
              </w:rPr>
            </w:pPr>
            <w:r>
              <w:rPr>
                <w:rFonts w:ascii="Arial" w:cs="Arial" w:eastAsia="Arial" w:hAnsi="Arial"/>
                <w:sz w:val="18"/>
                <w:szCs w:val="18"/>
                <w:color w:val="auto"/>
              </w:rPr>
              <w:t>/s/ Mark W. Sheahan</w:t>
            </w:r>
          </w:p>
        </w:tc>
      </w:tr>
      <w:tr>
        <w:trPr>
          <w:trHeight w:val="218"/>
        </w:trPr>
        <w:tc>
          <w:tcPr>
            <w:tcW w:w="880" w:type="dxa"/>
            <w:vAlign w:val="bottom"/>
          </w:tcPr>
          <w:p>
            <w:pPr>
              <w:spacing w:after="0"/>
              <w:rPr>
                <w:sz w:val="18"/>
                <w:szCs w:val="18"/>
                <w:color w:val="auto"/>
              </w:rPr>
            </w:pPr>
          </w:p>
        </w:tc>
        <w:tc>
          <w:tcPr>
            <w:tcW w:w="2660" w:type="dxa"/>
            <w:vAlign w:val="bottom"/>
            <w:tcBorders>
              <w:top w:val="single" w:sz="8" w:color="auto"/>
            </w:tcBorders>
          </w:tcPr>
          <w:p>
            <w:pPr>
              <w:spacing w:after="0"/>
              <w:rPr>
                <w:sz w:val="18"/>
                <w:szCs w:val="18"/>
                <w:color w:val="auto"/>
              </w:rPr>
            </w:pPr>
          </w:p>
        </w:tc>
        <w:tc>
          <w:tcPr>
            <w:tcW w:w="1880" w:type="dxa"/>
            <w:vAlign w:val="bottom"/>
          </w:tcPr>
          <w:p>
            <w:pPr>
              <w:spacing w:after="0"/>
              <w:rPr>
                <w:sz w:val="18"/>
                <w:szCs w:val="18"/>
                <w:color w:val="auto"/>
              </w:rPr>
            </w:pPr>
          </w:p>
        </w:tc>
        <w:tc>
          <w:tcPr>
            <w:tcW w:w="58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Mark W. Sheahan</w:t>
            </w:r>
          </w:p>
        </w:tc>
      </w:tr>
      <w:tr>
        <w:trPr>
          <w:trHeight w:val="239"/>
        </w:trPr>
        <w:tc>
          <w:tcPr>
            <w:tcW w:w="8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80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917" w:right="339" w:bottom="1440" w:gutter="0" w:footer="0" w:header="0"/>
        </w:sectPr>
      </w:pPr>
    </w:p>
    <w:bookmarkStart w:id="26" w:name="page27"/>
    <w:bookmarkEnd w:id="26"/>
    <w:p>
      <w:pPr>
        <w:jc w:val="right"/>
        <w:ind w:right="40"/>
        <w:spacing w:after="0"/>
        <w:rPr>
          <w:sz w:val="20"/>
          <w:szCs w:val="20"/>
          <w:color w:val="auto"/>
        </w:rPr>
      </w:pPr>
      <w:r>
        <w:rPr>
          <w:rFonts w:ascii="Arial" w:cs="Arial" w:eastAsia="Arial" w:hAnsi="Arial"/>
          <w:sz w:val="18"/>
          <w:szCs w:val="18"/>
          <w:color w:val="auto"/>
        </w:rPr>
        <w:t>Exhibit 31.2</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Sanjiv Gupta, certify that:</w:t>
      </w:r>
    </w:p>
    <w:p>
      <w:pPr>
        <w:spacing w:after="0" w:line="225"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Graco Inc.;</w:t>
      </w:r>
    </w:p>
    <w:p>
      <w:pPr>
        <w:spacing w:after="0" w:line="225"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8"/>
          <w:szCs w:val="18"/>
          <w:color w:val="auto"/>
        </w:rPr>
      </w:pPr>
    </w:p>
    <w:p>
      <w:pPr>
        <w:jc w:val="both"/>
        <w:ind w:left="820" w:right="140" w:hanging="650"/>
        <w:spacing w:after="0" w:line="268" w:lineRule="auto"/>
        <w:tabs>
          <w:tab w:leader="none" w:pos="808"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ind w:left="820" w:right="500" w:hanging="650"/>
        <w:spacing w:after="0" w:line="268" w:lineRule="auto"/>
        <w:tabs>
          <w:tab w:leader="none" w:pos="808"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ind w:left="820" w:right="40" w:hanging="650"/>
        <w:spacing w:after="0" w:line="268" w:lineRule="auto"/>
        <w:tabs>
          <w:tab w:leader="none" w:pos="811"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820" w:right="240" w:hanging="650"/>
        <w:spacing w:after="0" w:line="268" w:lineRule="auto"/>
        <w:tabs>
          <w:tab w:leader="none" w:pos="808"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660" w:right="360" w:hanging="652"/>
        <w:spacing w:after="0" w:line="287"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52" w:lineRule="exact"/>
        <w:rPr>
          <w:rFonts w:ascii="Arial" w:cs="Arial" w:eastAsia="Arial" w:hAnsi="Arial"/>
          <w:sz w:val="18"/>
          <w:szCs w:val="18"/>
          <w:color w:val="auto"/>
        </w:rPr>
      </w:pPr>
    </w:p>
    <w:p>
      <w:pPr>
        <w:ind w:left="820" w:right="120" w:hanging="650"/>
        <w:spacing w:after="0" w:line="287" w:lineRule="auto"/>
        <w:tabs>
          <w:tab w:leader="none" w:pos="808"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8"/>
          <w:szCs w:val="18"/>
          <w:color w:val="auto"/>
        </w:rPr>
      </w:pPr>
    </w:p>
    <w:p>
      <w:pPr>
        <w:ind w:left="820" w:right="340" w:hanging="650"/>
        <w:spacing w:after="0" w:line="287" w:lineRule="auto"/>
        <w:tabs>
          <w:tab w:leader="none" w:pos="808"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April 22, 2026</w:t>
            </w:r>
          </w:p>
        </w:tc>
        <w:tc>
          <w:tcPr>
            <w:tcW w:w="5800" w:type="dxa"/>
            <w:vAlign w:val="bottom"/>
          </w:tcPr>
          <w:p>
            <w:pPr>
              <w:ind w:left="220"/>
              <w:spacing w:after="0"/>
              <w:rPr>
                <w:sz w:val="20"/>
                <w:szCs w:val="20"/>
                <w:color w:val="auto"/>
              </w:rPr>
            </w:pPr>
            <w:r>
              <w:rPr>
                <w:rFonts w:ascii="Arial" w:cs="Arial" w:eastAsia="Arial" w:hAnsi="Arial"/>
                <w:sz w:val="18"/>
                <w:szCs w:val="18"/>
                <w:color w:val="auto"/>
              </w:rPr>
              <w:t>/s/ Sanjiv Gupta</w:t>
            </w:r>
          </w:p>
        </w:tc>
      </w:tr>
      <w:tr>
        <w:trPr>
          <w:trHeight w:val="218"/>
        </w:trPr>
        <w:tc>
          <w:tcPr>
            <w:tcW w:w="880" w:type="dxa"/>
            <w:vAlign w:val="bottom"/>
          </w:tcPr>
          <w:p>
            <w:pPr>
              <w:spacing w:after="0"/>
              <w:rPr>
                <w:sz w:val="18"/>
                <w:szCs w:val="18"/>
                <w:color w:val="auto"/>
              </w:rPr>
            </w:pPr>
          </w:p>
        </w:tc>
        <w:tc>
          <w:tcPr>
            <w:tcW w:w="2660" w:type="dxa"/>
            <w:vAlign w:val="bottom"/>
            <w:tcBorders>
              <w:top w:val="single" w:sz="8" w:color="auto"/>
            </w:tcBorders>
          </w:tcPr>
          <w:p>
            <w:pPr>
              <w:spacing w:after="0"/>
              <w:rPr>
                <w:sz w:val="18"/>
                <w:szCs w:val="18"/>
                <w:color w:val="auto"/>
              </w:rPr>
            </w:pPr>
          </w:p>
        </w:tc>
        <w:tc>
          <w:tcPr>
            <w:tcW w:w="1880" w:type="dxa"/>
            <w:vAlign w:val="bottom"/>
          </w:tcPr>
          <w:p>
            <w:pPr>
              <w:spacing w:after="0"/>
              <w:rPr>
                <w:sz w:val="18"/>
                <w:szCs w:val="18"/>
                <w:color w:val="auto"/>
              </w:rPr>
            </w:pPr>
          </w:p>
        </w:tc>
        <w:tc>
          <w:tcPr>
            <w:tcW w:w="58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Sanjiv Gupta</w:t>
            </w:r>
          </w:p>
        </w:tc>
      </w:tr>
      <w:tr>
        <w:trPr>
          <w:trHeight w:val="239"/>
        </w:trPr>
        <w:tc>
          <w:tcPr>
            <w:tcW w:w="8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800" w:type="dxa"/>
            <w:vAlign w:val="bottom"/>
          </w:tcPr>
          <w:p>
            <w:pPr>
              <w:ind w:left="220"/>
              <w:spacing w:after="0"/>
              <w:rPr>
                <w:sz w:val="20"/>
                <w:szCs w:val="20"/>
                <w:color w:val="auto"/>
              </w:rPr>
            </w:pPr>
            <w:r>
              <w:rPr>
                <w:rFonts w:ascii="Arial" w:cs="Arial" w:eastAsia="Arial" w:hAnsi="Arial"/>
                <w:sz w:val="18"/>
                <w:szCs w:val="18"/>
                <w:color w:val="auto"/>
              </w:rPr>
              <w:t>Chief Financial Officer and Treasurer</w:t>
            </w:r>
          </w:p>
        </w:tc>
      </w:tr>
    </w:tbl>
    <w:p>
      <w:pPr>
        <w:sectPr>
          <w:pgSz w:w="11900" w:h="16838" w:orient="portrait"/>
          <w:cols w:equalWidth="0" w:num="1">
            <w:col w:w="11240"/>
          </w:cols>
          <w:pgMar w:left="320" w:top="917" w:right="339" w:bottom="1440" w:gutter="0" w:footer="0" w:header="0"/>
        </w:sectPr>
      </w:pPr>
    </w:p>
    <w:bookmarkStart w:id="27" w:name="page28"/>
    <w:bookmarkEnd w:id="27"/>
    <w:p>
      <w:pPr>
        <w:ind w:left="10420"/>
        <w:spacing w:after="0"/>
        <w:rPr>
          <w:sz w:val="20"/>
          <w:szCs w:val="20"/>
          <w:color w:val="auto"/>
        </w:rPr>
      </w:pPr>
      <w:r>
        <w:rPr>
          <w:rFonts w:ascii="Arial" w:cs="Arial" w:eastAsia="Arial" w:hAnsi="Arial"/>
          <w:sz w:val="18"/>
          <w:szCs w:val="18"/>
          <w:color w:val="auto"/>
        </w:rPr>
        <w:t>Exhibit 32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UNDER SECTION 1350</w:t>
      </w:r>
    </w:p>
    <w:p>
      <w:pPr>
        <w:spacing w:after="0" w:line="333"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Pursuant to Section 1350 of Title 18 of the United States Code, each of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Graco Inc.</w:t>
      </w:r>
    </w:p>
    <w:p>
      <w:pPr>
        <w:spacing w:after="0" w:line="200" w:lineRule="exact"/>
        <w:rPr>
          <w:sz w:val="20"/>
          <w:szCs w:val="20"/>
          <w:color w:val="auto"/>
        </w:rPr>
      </w:pPr>
    </w:p>
    <w:p>
      <w:pPr>
        <w:spacing w:after="0" w:line="36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3940" w:type="dxa"/>
            <w:vAlign w:val="bottom"/>
            <w:gridSpan w:val="2"/>
          </w:tcPr>
          <w:p>
            <w:pPr>
              <w:ind w:left="140"/>
              <w:spacing w:after="0"/>
              <w:rPr>
                <w:sz w:val="20"/>
                <w:szCs w:val="20"/>
                <w:color w:val="auto"/>
              </w:rPr>
            </w:pPr>
            <w:r>
              <w:rPr>
                <w:rFonts w:ascii="Arial" w:cs="Arial" w:eastAsia="Arial" w:hAnsi="Arial"/>
                <w:sz w:val="18"/>
                <w:szCs w:val="18"/>
                <w:color w:val="auto"/>
              </w:rPr>
              <w:t>April 22, 2026</w:t>
            </w:r>
          </w:p>
        </w:tc>
        <w:tc>
          <w:tcPr>
            <w:tcW w:w="6460" w:type="dxa"/>
            <w:vAlign w:val="bottom"/>
          </w:tcPr>
          <w:p>
            <w:pPr>
              <w:ind w:left="220"/>
              <w:spacing w:after="0"/>
              <w:rPr>
                <w:sz w:val="20"/>
                <w:szCs w:val="20"/>
                <w:color w:val="auto"/>
              </w:rPr>
            </w:pPr>
            <w:r>
              <w:rPr>
                <w:rFonts w:ascii="Arial" w:cs="Arial" w:eastAsia="Arial" w:hAnsi="Arial"/>
                <w:sz w:val="18"/>
                <w:szCs w:val="18"/>
                <w:color w:val="auto"/>
              </w:rPr>
              <w:t>/s/ Mark W. Sheahan</w:t>
            </w:r>
          </w:p>
        </w:tc>
      </w:tr>
      <w:tr>
        <w:trPr>
          <w:trHeight w:val="218"/>
        </w:trPr>
        <w:tc>
          <w:tcPr>
            <w:tcW w:w="820" w:type="dxa"/>
            <w:vAlign w:val="bottom"/>
          </w:tcPr>
          <w:p>
            <w:pPr>
              <w:spacing w:after="0"/>
              <w:rPr>
                <w:sz w:val="18"/>
                <w:szCs w:val="18"/>
                <w:color w:val="auto"/>
              </w:rPr>
            </w:pPr>
          </w:p>
        </w:tc>
        <w:tc>
          <w:tcPr>
            <w:tcW w:w="2360" w:type="dxa"/>
            <w:vAlign w:val="bottom"/>
            <w:tcBorders>
              <w:top w:val="single" w:sz="8" w:color="auto"/>
            </w:tcBorders>
          </w:tcPr>
          <w:p>
            <w:pPr>
              <w:spacing w:after="0"/>
              <w:rPr>
                <w:sz w:val="18"/>
                <w:szCs w:val="18"/>
                <w:color w:val="auto"/>
              </w:rPr>
            </w:pPr>
          </w:p>
        </w:tc>
        <w:tc>
          <w:tcPr>
            <w:tcW w:w="1580" w:type="dxa"/>
            <w:vAlign w:val="bottom"/>
          </w:tcPr>
          <w:p>
            <w:pPr>
              <w:spacing w:after="0"/>
              <w:rPr>
                <w:sz w:val="18"/>
                <w:szCs w:val="18"/>
                <w:color w:val="auto"/>
              </w:rPr>
            </w:pPr>
          </w:p>
        </w:tc>
        <w:tc>
          <w:tcPr>
            <w:tcW w:w="646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Mark W. Sheahan</w:t>
            </w:r>
          </w:p>
        </w:tc>
      </w:tr>
      <w:tr>
        <w:trPr>
          <w:trHeight w:val="239"/>
        </w:trPr>
        <w:tc>
          <w:tcPr>
            <w:tcW w:w="8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46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495"/>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3940" w:type="dxa"/>
            <w:vAlign w:val="bottom"/>
            <w:gridSpan w:val="2"/>
          </w:tcPr>
          <w:p>
            <w:pPr>
              <w:ind w:left="140"/>
              <w:spacing w:after="0"/>
              <w:rPr>
                <w:sz w:val="20"/>
                <w:szCs w:val="20"/>
                <w:color w:val="auto"/>
              </w:rPr>
            </w:pPr>
            <w:r>
              <w:rPr>
                <w:rFonts w:ascii="Arial" w:cs="Arial" w:eastAsia="Arial" w:hAnsi="Arial"/>
                <w:sz w:val="18"/>
                <w:szCs w:val="18"/>
                <w:color w:val="auto"/>
              </w:rPr>
              <w:t>April 22, 2026</w:t>
            </w:r>
          </w:p>
        </w:tc>
        <w:tc>
          <w:tcPr>
            <w:tcW w:w="6460" w:type="dxa"/>
            <w:vAlign w:val="bottom"/>
          </w:tcPr>
          <w:p>
            <w:pPr>
              <w:ind w:left="220"/>
              <w:spacing w:after="0"/>
              <w:rPr>
                <w:sz w:val="20"/>
                <w:szCs w:val="20"/>
                <w:color w:val="auto"/>
              </w:rPr>
            </w:pPr>
            <w:r>
              <w:rPr>
                <w:rFonts w:ascii="Arial" w:cs="Arial" w:eastAsia="Arial" w:hAnsi="Arial"/>
                <w:sz w:val="18"/>
                <w:szCs w:val="18"/>
                <w:color w:val="auto"/>
              </w:rPr>
              <w:t>/s/ Sanjiv Gupta</w:t>
            </w:r>
          </w:p>
        </w:tc>
      </w:tr>
      <w:tr>
        <w:trPr>
          <w:trHeight w:val="218"/>
        </w:trPr>
        <w:tc>
          <w:tcPr>
            <w:tcW w:w="820" w:type="dxa"/>
            <w:vAlign w:val="bottom"/>
          </w:tcPr>
          <w:p>
            <w:pPr>
              <w:spacing w:after="0"/>
              <w:rPr>
                <w:sz w:val="18"/>
                <w:szCs w:val="18"/>
                <w:color w:val="auto"/>
              </w:rPr>
            </w:pPr>
          </w:p>
        </w:tc>
        <w:tc>
          <w:tcPr>
            <w:tcW w:w="2360" w:type="dxa"/>
            <w:vAlign w:val="bottom"/>
            <w:tcBorders>
              <w:top w:val="single" w:sz="8" w:color="auto"/>
            </w:tcBorders>
          </w:tcPr>
          <w:p>
            <w:pPr>
              <w:spacing w:after="0"/>
              <w:rPr>
                <w:sz w:val="18"/>
                <w:szCs w:val="18"/>
                <w:color w:val="auto"/>
              </w:rPr>
            </w:pPr>
          </w:p>
        </w:tc>
        <w:tc>
          <w:tcPr>
            <w:tcW w:w="1580" w:type="dxa"/>
            <w:vAlign w:val="bottom"/>
          </w:tcPr>
          <w:p>
            <w:pPr>
              <w:spacing w:after="0"/>
              <w:rPr>
                <w:sz w:val="18"/>
                <w:szCs w:val="18"/>
                <w:color w:val="auto"/>
              </w:rPr>
            </w:pPr>
          </w:p>
        </w:tc>
        <w:tc>
          <w:tcPr>
            <w:tcW w:w="646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Sanjiv Gupta</w:t>
            </w:r>
          </w:p>
        </w:tc>
      </w:tr>
      <w:tr>
        <w:trPr>
          <w:trHeight w:val="239"/>
        </w:trPr>
        <w:tc>
          <w:tcPr>
            <w:tcW w:w="8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460" w:type="dxa"/>
            <w:vAlign w:val="bottom"/>
          </w:tcPr>
          <w:p>
            <w:pPr>
              <w:ind w:left="220"/>
              <w:spacing w:after="0"/>
              <w:rPr>
                <w:sz w:val="20"/>
                <w:szCs w:val="20"/>
                <w:color w:val="auto"/>
              </w:rPr>
            </w:pPr>
            <w:r>
              <w:rPr>
                <w:rFonts w:ascii="Arial" w:cs="Arial" w:eastAsia="Arial" w:hAnsi="Arial"/>
                <w:sz w:val="18"/>
                <w:szCs w:val="18"/>
                <w:color w:val="auto"/>
              </w:rPr>
              <w:t>Chief Financial Officer and Treasurer</w:t>
            </w:r>
          </w:p>
        </w:tc>
      </w:tr>
    </w:tbl>
    <w:p>
      <w:pPr>
        <w:sectPr>
          <w:pgSz w:w="11900" w:h="16838" w:orient="portrait"/>
          <w:cols w:equalWidth="0" w:num="1">
            <w:col w:w="11240"/>
          </w:cols>
          <w:pgMar w:left="320" w:top="809" w:right="339" w:bottom="1440" w:gutter="0" w:footer="0" w:header="0"/>
        </w:sectPr>
      </w:pPr>
    </w:p>
    <w:bookmarkStart w:id="28" w:name="page29"/>
    <w:bookmarkEnd w:id="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6457315</wp:posOffset>
            </wp:positionH>
            <wp:positionV relativeFrom="page">
              <wp:posOffset>525780</wp:posOffset>
            </wp:positionV>
            <wp:extent cx="720090" cy="7886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20090" cy="788670"/>
                    </a:xfrm>
                    <a:prstGeom prst="rect">
                      <a:avLst/>
                    </a:prstGeom>
                    <a:noFill/>
                  </pic:spPr>
                </pic:pic>
              </a:graphicData>
            </a:graphic>
          </wp:anchor>
        </w:drawing>
      </w:r>
    </w:p>
    <w:tbl>
      <w:tblPr>
        <w:tblLayout w:type="fixed"/>
        <w:tblInd w:w="260" w:type="dxa"/>
        <w:tblCellMar>
          <w:top w:w="0" w:type="dxa"/>
          <w:left w:w="0" w:type="dxa"/>
          <w:bottom w:w="0" w:type="dxa"/>
          <w:right w:w="0" w:type="dxa"/>
        </w:tblCellMar>
      </w:tblPr>
      <w:tr>
        <w:trPr>
          <w:trHeight w:val="239"/>
        </w:trPr>
        <w:tc>
          <w:tcPr>
            <w:tcW w:w="4680" w:type="dxa"/>
            <w:vAlign w:val="bottom"/>
          </w:tcPr>
          <w:p>
            <w:pPr>
              <w:spacing w:after="0"/>
              <w:rPr>
                <w:sz w:val="20"/>
                <w:szCs w:val="20"/>
                <w:color w:val="auto"/>
              </w:rPr>
            </w:pPr>
            <w:r>
              <w:rPr>
                <w:rFonts w:ascii="Arial" w:cs="Arial" w:eastAsia="Arial" w:hAnsi="Arial"/>
                <w:sz w:val="18"/>
                <w:szCs w:val="18"/>
                <w:color w:val="auto"/>
              </w:rPr>
              <w:t>Exhibit 99.1</w:t>
            </w:r>
          </w:p>
        </w:tc>
        <w:tc>
          <w:tcPr>
            <w:tcW w:w="6000" w:type="dxa"/>
            <w:vAlign w:val="bottom"/>
            <w:gridSpan w:val="2"/>
          </w:tcPr>
          <w:p>
            <w:pPr>
              <w:jc w:val="right"/>
              <w:ind w:right="1310"/>
              <w:spacing w:after="0"/>
              <w:rPr>
                <w:sz w:val="20"/>
                <w:szCs w:val="20"/>
                <w:color w:val="auto"/>
              </w:rPr>
            </w:pPr>
            <w:r>
              <w:rPr>
                <w:rFonts w:ascii="Arial" w:cs="Arial" w:eastAsia="Arial" w:hAnsi="Arial"/>
                <w:sz w:val="18"/>
                <w:szCs w:val="18"/>
                <w:color w:val="auto"/>
              </w:rPr>
              <w:t>GRACO INC.</w:t>
            </w:r>
          </w:p>
        </w:tc>
      </w:tr>
      <w:tr>
        <w:trPr>
          <w:trHeight w:val="270"/>
        </w:trPr>
        <w:tc>
          <w:tcPr>
            <w:tcW w:w="4680" w:type="dxa"/>
            <w:vAlign w:val="bottom"/>
          </w:tcPr>
          <w:p>
            <w:pPr>
              <w:spacing w:after="0"/>
              <w:rPr>
                <w:sz w:val="23"/>
                <w:szCs w:val="23"/>
                <w:color w:val="auto"/>
              </w:rPr>
            </w:pPr>
          </w:p>
        </w:tc>
        <w:tc>
          <w:tcPr>
            <w:tcW w:w="6000" w:type="dxa"/>
            <w:vAlign w:val="bottom"/>
            <w:gridSpan w:val="2"/>
          </w:tcPr>
          <w:p>
            <w:pPr>
              <w:jc w:val="right"/>
              <w:ind w:right="1310"/>
              <w:spacing w:after="0"/>
              <w:rPr>
                <w:sz w:val="20"/>
                <w:szCs w:val="20"/>
                <w:color w:val="auto"/>
              </w:rPr>
            </w:pPr>
            <w:r>
              <w:rPr>
                <w:rFonts w:ascii="Arial" w:cs="Arial" w:eastAsia="Arial" w:hAnsi="Arial"/>
                <w:sz w:val="18"/>
                <w:szCs w:val="18"/>
                <w:color w:val="auto"/>
              </w:rPr>
              <w:t>P.O. Box 1441</w:t>
            </w:r>
          </w:p>
        </w:tc>
      </w:tr>
      <w:tr>
        <w:trPr>
          <w:trHeight w:val="270"/>
        </w:trPr>
        <w:tc>
          <w:tcPr>
            <w:tcW w:w="4680" w:type="dxa"/>
            <w:vAlign w:val="bottom"/>
          </w:tcPr>
          <w:p>
            <w:pPr>
              <w:spacing w:after="0"/>
              <w:rPr>
                <w:sz w:val="23"/>
                <w:szCs w:val="23"/>
                <w:color w:val="auto"/>
              </w:rPr>
            </w:pPr>
          </w:p>
        </w:tc>
        <w:tc>
          <w:tcPr>
            <w:tcW w:w="6000" w:type="dxa"/>
            <w:vAlign w:val="bottom"/>
            <w:gridSpan w:val="2"/>
          </w:tcPr>
          <w:p>
            <w:pPr>
              <w:jc w:val="right"/>
              <w:ind w:right="1310"/>
              <w:spacing w:after="0"/>
              <w:rPr>
                <w:sz w:val="20"/>
                <w:szCs w:val="20"/>
                <w:color w:val="auto"/>
              </w:rPr>
            </w:pPr>
            <w:r>
              <w:rPr>
                <w:rFonts w:ascii="Arial" w:cs="Arial" w:eastAsia="Arial" w:hAnsi="Arial"/>
                <w:sz w:val="18"/>
                <w:szCs w:val="18"/>
                <w:color w:val="auto"/>
              </w:rPr>
              <w:t>Minneapolis, MN</w:t>
            </w:r>
          </w:p>
        </w:tc>
      </w:tr>
      <w:tr>
        <w:trPr>
          <w:trHeight w:val="270"/>
        </w:trPr>
        <w:tc>
          <w:tcPr>
            <w:tcW w:w="4680" w:type="dxa"/>
            <w:vAlign w:val="bottom"/>
          </w:tcPr>
          <w:p>
            <w:pPr>
              <w:spacing w:after="0"/>
              <w:rPr>
                <w:sz w:val="23"/>
                <w:szCs w:val="23"/>
                <w:color w:val="auto"/>
              </w:rPr>
            </w:pPr>
          </w:p>
        </w:tc>
        <w:tc>
          <w:tcPr>
            <w:tcW w:w="6000" w:type="dxa"/>
            <w:vAlign w:val="bottom"/>
            <w:gridSpan w:val="2"/>
          </w:tcPr>
          <w:p>
            <w:pPr>
              <w:jc w:val="right"/>
              <w:ind w:right="1310"/>
              <w:spacing w:after="0"/>
              <w:rPr>
                <w:sz w:val="20"/>
                <w:szCs w:val="20"/>
                <w:color w:val="auto"/>
              </w:rPr>
            </w:pPr>
            <w:r>
              <w:rPr>
                <w:rFonts w:ascii="Arial" w:cs="Arial" w:eastAsia="Arial" w:hAnsi="Arial"/>
                <w:sz w:val="18"/>
                <w:szCs w:val="18"/>
                <w:color w:val="auto"/>
              </w:rPr>
              <w:t>55440-1441</w:t>
            </w:r>
          </w:p>
        </w:tc>
      </w:tr>
      <w:tr>
        <w:trPr>
          <w:trHeight w:val="270"/>
        </w:trPr>
        <w:tc>
          <w:tcPr>
            <w:tcW w:w="4680" w:type="dxa"/>
            <w:vAlign w:val="bottom"/>
          </w:tcPr>
          <w:p>
            <w:pPr>
              <w:spacing w:after="0"/>
              <w:rPr>
                <w:sz w:val="23"/>
                <w:szCs w:val="23"/>
                <w:color w:val="auto"/>
              </w:rPr>
            </w:pPr>
          </w:p>
        </w:tc>
        <w:tc>
          <w:tcPr>
            <w:tcW w:w="6000" w:type="dxa"/>
            <w:vAlign w:val="bottom"/>
            <w:gridSpan w:val="2"/>
          </w:tcPr>
          <w:p>
            <w:pPr>
              <w:jc w:val="right"/>
              <w:ind w:right="1310"/>
              <w:spacing w:after="0"/>
              <w:rPr>
                <w:sz w:val="20"/>
                <w:szCs w:val="20"/>
                <w:color w:val="auto"/>
              </w:rPr>
            </w:pPr>
            <w:r>
              <w:rPr>
                <w:rFonts w:ascii="Arial" w:cs="Arial" w:eastAsia="Arial" w:hAnsi="Arial"/>
                <w:sz w:val="18"/>
                <w:szCs w:val="18"/>
                <w:color w:val="auto"/>
              </w:rPr>
              <w:t>NYSE: GGG</w:t>
            </w:r>
          </w:p>
        </w:tc>
      </w:tr>
      <w:tr>
        <w:trPr>
          <w:trHeight w:val="342"/>
        </w:trPr>
        <w:tc>
          <w:tcPr>
            <w:tcW w:w="4680" w:type="dxa"/>
            <w:vAlign w:val="bottom"/>
          </w:tcPr>
          <w:p>
            <w:pPr>
              <w:ind w:left="40"/>
              <w:spacing w:after="0"/>
              <w:rPr>
                <w:sz w:val="20"/>
                <w:szCs w:val="20"/>
                <w:color w:val="auto"/>
              </w:rPr>
            </w:pPr>
            <w:r>
              <w:rPr>
                <w:rFonts w:ascii="Arial" w:cs="Arial" w:eastAsia="Arial" w:hAnsi="Arial"/>
                <w:sz w:val="18"/>
                <w:szCs w:val="18"/>
                <w:b w:val="1"/>
                <w:bCs w:val="1"/>
                <w:color w:val="auto"/>
              </w:rPr>
              <w:t>FOR IMMEDIATE RELEASE:</w:t>
            </w:r>
          </w:p>
        </w:tc>
        <w:tc>
          <w:tcPr>
            <w:tcW w:w="6000" w:type="dxa"/>
            <w:vAlign w:val="bottom"/>
            <w:gridSpan w:val="2"/>
          </w:tcPr>
          <w:p>
            <w:pPr>
              <w:jc w:val="right"/>
              <w:spacing w:after="0"/>
              <w:rPr>
                <w:sz w:val="20"/>
                <w:szCs w:val="20"/>
                <w:color w:val="auto"/>
              </w:rPr>
            </w:pPr>
            <w:r>
              <w:rPr>
                <w:rFonts w:ascii="Arial" w:cs="Arial" w:eastAsia="Arial" w:hAnsi="Arial"/>
                <w:sz w:val="18"/>
                <w:szCs w:val="18"/>
                <w:b w:val="1"/>
                <w:bCs w:val="1"/>
                <w:color w:val="auto"/>
              </w:rPr>
              <w:t>FOR FURTHER INFORMATION:</w:t>
            </w:r>
          </w:p>
        </w:tc>
      </w:tr>
      <w:tr>
        <w:trPr>
          <w:trHeight w:val="181"/>
        </w:trPr>
        <w:tc>
          <w:tcPr>
            <w:tcW w:w="4680" w:type="dxa"/>
            <w:vAlign w:val="bottom"/>
          </w:tcPr>
          <w:p>
            <w:pPr>
              <w:ind w:left="40"/>
              <w:spacing w:after="0" w:line="181" w:lineRule="exact"/>
              <w:rPr>
                <w:sz w:val="20"/>
                <w:szCs w:val="20"/>
                <w:color w:val="auto"/>
              </w:rPr>
            </w:pPr>
            <w:r>
              <w:rPr>
                <w:rFonts w:ascii="Arial" w:cs="Arial" w:eastAsia="Arial" w:hAnsi="Arial"/>
                <w:sz w:val="18"/>
                <w:szCs w:val="18"/>
                <w:color w:val="auto"/>
              </w:rPr>
              <w:t>Wednesday, April 22, 2026</w:t>
            </w:r>
          </w:p>
        </w:tc>
        <w:tc>
          <w:tcPr>
            <w:tcW w:w="600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Financial Contact: Sanjiv Gupta, 612-623-6129</w:t>
            </w:r>
          </w:p>
        </w:tc>
      </w:tr>
      <w:tr>
        <w:trPr>
          <w:trHeight w:val="175"/>
        </w:trPr>
        <w:tc>
          <w:tcPr>
            <w:tcW w:w="4680" w:type="dxa"/>
            <w:vAlign w:val="bottom"/>
          </w:tcPr>
          <w:p>
            <w:pPr>
              <w:spacing w:after="0"/>
              <w:rPr>
                <w:sz w:val="15"/>
                <w:szCs w:val="15"/>
                <w:color w:val="auto"/>
              </w:rPr>
            </w:pPr>
          </w:p>
        </w:tc>
        <w:tc>
          <w:tcPr>
            <w:tcW w:w="60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Media Contact: Kirstie L. Foster, 612-623-6249</w:t>
            </w:r>
          </w:p>
        </w:tc>
      </w:tr>
      <w:tr>
        <w:trPr>
          <w:trHeight w:val="189"/>
        </w:trPr>
        <w:tc>
          <w:tcPr>
            <w:tcW w:w="46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340" w:type="dxa"/>
            <w:vAlign w:val="bottom"/>
            <w:tcBorders>
              <w:bottom w:val="single" w:sz="8" w:color="0000FF"/>
            </w:tcBorders>
          </w:tcPr>
          <w:p>
            <w:pPr>
              <w:jc w:val="right"/>
              <w:spacing w:after="0" w:line="189" w:lineRule="exact"/>
              <w:rPr>
                <w:sz w:val="20"/>
                <w:szCs w:val="20"/>
                <w:color w:val="auto"/>
              </w:rPr>
            </w:pPr>
            <w:r>
              <w:rPr>
                <w:rFonts w:ascii="Arial" w:cs="Arial" w:eastAsia="Arial" w:hAnsi="Arial"/>
                <w:sz w:val="18"/>
                <w:szCs w:val="18"/>
                <w:color w:val="0000FF"/>
                <w:w w:val="99"/>
              </w:rPr>
              <w:t>Kirstie_L_Foster@graco.com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-1079500</wp:posOffset>
            </wp:positionV>
            <wp:extent cx="2211705" cy="445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2211705" cy="445770"/>
                    </a:xfrm>
                    <a:prstGeom prst="rect">
                      <a:avLst/>
                    </a:prstGeom>
                    <a:noFill/>
                  </pic:spPr>
                </pic:pic>
              </a:graphicData>
            </a:graphic>
          </wp:anchor>
        </w:drawing>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Acquisitions Drive Sales Growth</w:t>
      </w:r>
    </w:p>
    <w:p>
      <w:pPr>
        <w:spacing w:after="0" w:line="62" w:lineRule="exact"/>
        <w:rPr>
          <w:sz w:val="20"/>
          <w:szCs w:val="20"/>
          <w:color w:val="auto"/>
        </w:rPr>
      </w:pPr>
    </w:p>
    <w:p>
      <w:pPr>
        <w:ind w:right="500"/>
        <w:spacing w:after="0" w:line="274" w:lineRule="auto"/>
        <w:rPr>
          <w:sz w:val="20"/>
          <w:szCs w:val="20"/>
          <w:color w:val="auto"/>
        </w:rPr>
      </w:pPr>
      <w:r>
        <w:rPr>
          <w:rFonts w:ascii="Arial" w:cs="Arial" w:eastAsia="Arial" w:hAnsi="Arial"/>
          <w:sz w:val="20"/>
          <w:szCs w:val="20"/>
          <w:b w:val="1"/>
          <w:bCs w:val="1"/>
          <w:color w:val="auto"/>
        </w:rPr>
        <w:t xml:space="preserve">MINNEAPOLIS (April 22, 2026) </w:t>
      </w:r>
      <w:r>
        <w:rPr>
          <w:rFonts w:ascii="Arial" w:cs="Arial" w:eastAsia="Arial" w:hAnsi="Arial"/>
          <w:sz w:val="20"/>
          <w:szCs w:val="20"/>
          <w:color w:val="auto"/>
        </w:rPr>
        <w:t>– Graco Inc.</w:t>
      </w:r>
      <w:r>
        <w:rPr>
          <w:rFonts w:ascii="Arial" w:cs="Arial" w:eastAsia="Arial" w:hAnsi="Arial"/>
          <w:sz w:val="20"/>
          <w:szCs w:val="20"/>
          <w:b w:val="1"/>
          <w:bCs w:val="1"/>
          <w:color w:val="auto"/>
        </w:rPr>
        <w:t xml:space="preserve"> (NYSE: GGG) </w:t>
      </w:r>
      <w:r>
        <w:rPr>
          <w:rFonts w:ascii="Arial" w:cs="Arial" w:eastAsia="Arial" w:hAnsi="Arial"/>
          <w:sz w:val="20"/>
          <w:szCs w:val="20"/>
          <w:color w:val="auto"/>
        </w:rPr>
        <w:t>today announced results for the first quarter ended March 27,</w:t>
      </w:r>
      <w:r>
        <w:rPr>
          <w:rFonts w:ascii="Arial" w:cs="Arial" w:eastAsia="Arial" w:hAnsi="Arial"/>
          <w:sz w:val="20"/>
          <w:szCs w:val="20"/>
          <w:b w:val="1"/>
          <w:bCs w:val="1"/>
          <w:color w:val="auto"/>
        </w:rPr>
        <w:t xml:space="preserve"> </w:t>
      </w:r>
      <w:r>
        <w:rPr>
          <w:rFonts w:ascii="Arial" w:cs="Arial" w:eastAsia="Arial" w:hAnsi="Arial"/>
          <w:sz w:val="20"/>
          <w:szCs w:val="20"/>
          <w:color w:val="auto"/>
        </w:rPr>
        <w:t>2026.</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 in millions except per share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8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gridSpan w:val="6"/>
          </w:tcPr>
          <w:p>
            <w:pPr>
              <w:jc w:val="center"/>
              <w:ind w:left="781"/>
              <w:spacing w:after="0"/>
              <w:rPr>
                <w:sz w:val="20"/>
                <w:szCs w:val="20"/>
                <w:color w:val="auto"/>
              </w:rPr>
            </w:pPr>
            <w:r>
              <w:rPr>
                <w:rFonts w:ascii="Arial" w:cs="Arial" w:eastAsia="Arial" w:hAnsi="Arial"/>
                <w:sz w:val="20"/>
                <w:szCs w:val="20"/>
                <w:color w:val="auto"/>
                <w:w w:val="98"/>
              </w:rPr>
              <w:t>Three Months Ended</w:t>
            </w:r>
          </w:p>
        </w:tc>
        <w:tc>
          <w:tcPr>
            <w:tcW w:w="1140" w:type="dxa"/>
            <w:vAlign w:val="bottom"/>
            <w:tcBorders>
              <w:bottom w:val="single" w:sz="8" w:color="auto"/>
            </w:tcBorders>
          </w:tcPr>
          <w:p>
            <w:pPr>
              <w:spacing w:after="0"/>
              <w:rPr>
                <w:sz w:val="22"/>
                <w:szCs w:val="22"/>
                <w:color w:val="auto"/>
              </w:rPr>
            </w:pPr>
          </w:p>
        </w:tc>
      </w:tr>
      <w:tr>
        <w:trPr>
          <w:trHeight w:val="184"/>
        </w:trPr>
        <w:tc>
          <w:tcPr>
            <w:tcW w:w="6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ind w:left="100"/>
              <w:spacing w:after="0" w:line="184" w:lineRule="exact"/>
              <w:rPr>
                <w:sz w:val="20"/>
                <w:szCs w:val="20"/>
                <w:color w:val="auto"/>
              </w:rPr>
            </w:pPr>
            <w:r>
              <w:rPr>
                <w:rFonts w:ascii="Arial" w:cs="Arial" w:eastAsia="Arial" w:hAnsi="Arial"/>
                <w:sz w:val="20"/>
                <w:szCs w:val="20"/>
                <w:color w:val="auto"/>
              </w:rPr>
              <w:t>Mar 27,</w:t>
            </w:r>
          </w:p>
        </w:tc>
        <w:tc>
          <w:tcPr>
            <w:tcW w:w="220" w:type="dxa"/>
            <w:vAlign w:val="bottom"/>
          </w:tcPr>
          <w:p>
            <w:pPr>
              <w:spacing w:after="0"/>
              <w:rPr>
                <w:sz w:val="16"/>
                <w:szCs w:val="16"/>
                <w:color w:val="auto"/>
              </w:rPr>
            </w:pPr>
          </w:p>
        </w:tc>
        <w:tc>
          <w:tcPr>
            <w:tcW w:w="1500" w:type="dxa"/>
            <w:vAlign w:val="bottom"/>
            <w:gridSpan w:val="3"/>
          </w:tcPr>
          <w:p>
            <w:pPr>
              <w:jc w:val="center"/>
              <w:ind w:right="600"/>
              <w:spacing w:after="0" w:line="184" w:lineRule="exact"/>
              <w:rPr>
                <w:sz w:val="20"/>
                <w:szCs w:val="20"/>
                <w:color w:val="auto"/>
              </w:rPr>
            </w:pPr>
            <w:r>
              <w:rPr>
                <w:rFonts w:ascii="Arial" w:cs="Arial" w:eastAsia="Arial" w:hAnsi="Arial"/>
                <w:sz w:val="20"/>
                <w:szCs w:val="20"/>
                <w:color w:val="auto"/>
                <w:w w:val="97"/>
              </w:rPr>
              <w:t>Mar 28,</w:t>
            </w:r>
          </w:p>
        </w:tc>
        <w:tc>
          <w:tcPr>
            <w:tcW w:w="1140" w:type="dxa"/>
            <w:vAlign w:val="bottom"/>
          </w:tcPr>
          <w:p>
            <w:pPr>
              <w:jc w:val="right"/>
              <w:ind w:right="521"/>
              <w:spacing w:after="0" w:line="184" w:lineRule="exact"/>
              <w:rPr>
                <w:sz w:val="20"/>
                <w:szCs w:val="20"/>
                <w:color w:val="auto"/>
              </w:rPr>
            </w:pPr>
            <w:r>
              <w:rPr>
                <w:rFonts w:ascii="Arial" w:cs="Arial" w:eastAsia="Arial" w:hAnsi="Arial"/>
                <w:sz w:val="20"/>
                <w:szCs w:val="20"/>
                <w:color w:val="auto"/>
              </w:rPr>
              <w:t>%</w:t>
            </w:r>
          </w:p>
        </w:tc>
      </w:tr>
      <w:tr>
        <w:trPr>
          <w:trHeight w:val="257"/>
        </w:trPr>
        <w:tc>
          <w:tcPr>
            <w:tcW w:w="68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2026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21"/>
              <w:spacing w:after="0"/>
              <w:rPr>
                <w:sz w:val="20"/>
                <w:szCs w:val="20"/>
                <w:color w:val="auto"/>
              </w:rPr>
            </w:pPr>
            <w:r>
              <w:rPr>
                <w:rFonts w:ascii="Arial" w:cs="Arial" w:eastAsia="Arial" w:hAnsi="Arial"/>
                <w:sz w:val="20"/>
                <w:szCs w:val="20"/>
                <w:color w:val="auto"/>
                <w:w w:val="98"/>
              </w:rPr>
              <w:t>2025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rPr>
              <w:t>Change</w:t>
            </w:r>
          </w:p>
        </w:tc>
      </w:tr>
      <w:tr>
        <w:trPr>
          <w:trHeight w:val="250"/>
        </w:trPr>
        <w:tc>
          <w:tcPr>
            <w:tcW w:w="68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Sales</w:t>
            </w:r>
          </w:p>
        </w:tc>
        <w:tc>
          <w:tcPr>
            <w:tcW w:w="2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540.1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528.3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2 %</w:t>
            </w:r>
          </w:p>
        </w:tc>
      </w:tr>
      <w:tr>
        <w:trPr>
          <w:trHeight w:val="257"/>
        </w:trPr>
        <w:tc>
          <w:tcPr>
            <w:tcW w:w="6840" w:type="dxa"/>
            <w:vAlign w:val="bottom"/>
          </w:tcPr>
          <w:p>
            <w:pPr>
              <w:ind w:left="20"/>
              <w:spacing w:after="0"/>
              <w:rPr>
                <w:sz w:val="20"/>
                <w:szCs w:val="20"/>
                <w:color w:val="auto"/>
              </w:rPr>
            </w:pPr>
            <w:r>
              <w:rPr>
                <w:rFonts w:ascii="Arial" w:cs="Arial" w:eastAsia="Arial" w:hAnsi="Arial"/>
                <w:sz w:val="20"/>
                <w:szCs w:val="20"/>
                <w:color w:val="auto"/>
              </w:rPr>
              <w:t>Operating Earnings</w:t>
            </w: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137.8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144.0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 %</w:t>
            </w:r>
          </w:p>
        </w:tc>
      </w:tr>
      <w:tr>
        <w:trPr>
          <w:trHeight w:val="257"/>
        </w:trPr>
        <w:tc>
          <w:tcPr>
            <w:tcW w:w="68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Earnings</w:t>
            </w: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118.5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124.1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 %</w:t>
            </w:r>
          </w:p>
        </w:tc>
      </w:tr>
      <w:tr>
        <w:trPr>
          <w:trHeight w:val="256"/>
        </w:trPr>
        <w:tc>
          <w:tcPr>
            <w:tcW w:w="68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Diluted Net Earnings per Common Share</w:t>
            </w:r>
          </w:p>
        </w:tc>
        <w:tc>
          <w:tcPr>
            <w:tcW w:w="2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0.70</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0.72</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 %</w:t>
            </w:r>
          </w:p>
        </w:tc>
      </w:tr>
      <w:tr>
        <w:trPr>
          <w:trHeight w:val="250"/>
        </w:trPr>
        <w:tc>
          <w:tcPr>
            <w:tcW w:w="68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6"/>
        </w:trPr>
        <w:tc>
          <w:tcPr>
            <w:tcW w:w="6840" w:type="dxa"/>
            <w:vAlign w:val="bottom"/>
          </w:tcPr>
          <w:p>
            <w:pPr>
              <w:ind w:left="20"/>
              <w:spacing w:after="0" w:line="257" w:lineRule="exact"/>
              <w:rPr>
                <w:sz w:val="20"/>
                <w:szCs w:val="20"/>
                <w:color w:val="auto"/>
              </w:rPr>
            </w:pPr>
            <w:r>
              <w:rPr>
                <w:rFonts w:ascii="Arial" w:cs="Arial" w:eastAsia="Arial" w:hAnsi="Arial"/>
                <w:sz w:val="20"/>
                <w:szCs w:val="20"/>
                <w:color w:val="auto"/>
              </w:rPr>
              <w:t xml:space="preserve">Adjusted (non-GAAP): </w:t>
            </w:r>
            <w:r>
              <w:rPr>
                <w:rFonts w:ascii="Arial" w:cs="Arial" w:eastAsia="Arial" w:hAnsi="Arial"/>
                <w:sz w:val="25"/>
                <w:szCs w:val="25"/>
                <w:color w:val="auto"/>
                <w:vertAlign w:val="superscript"/>
              </w:rPr>
              <w:t>(1)</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68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Earnings, adjusted</w:t>
            </w:r>
          </w:p>
        </w:tc>
        <w:tc>
          <w:tcPr>
            <w:tcW w:w="2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111.8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120.5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 %</w:t>
            </w:r>
          </w:p>
        </w:tc>
      </w:tr>
      <w:tr>
        <w:trPr>
          <w:trHeight w:val="261"/>
        </w:trPr>
        <w:tc>
          <w:tcPr>
            <w:tcW w:w="6840" w:type="dxa"/>
            <w:vAlign w:val="bottom"/>
          </w:tcPr>
          <w:p>
            <w:pPr>
              <w:ind w:left="20"/>
              <w:spacing w:after="0"/>
              <w:rPr>
                <w:sz w:val="20"/>
                <w:szCs w:val="20"/>
                <w:color w:val="auto"/>
              </w:rPr>
            </w:pPr>
            <w:r>
              <w:rPr>
                <w:rFonts w:ascii="Arial" w:cs="Arial" w:eastAsia="Arial" w:hAnsi="Arial"/>
                <w:sz w:val="20"/>
                <w:szCs w:val="20"/>
                <w:color w:val="auto"/>
              </w:rPr>
              <w:t>Diluted Net Earnings per Common Share, adjusted</w:t>
            </w: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0.66</w:t>
            </w:r>
          </w:p>
        </w:tc>
        <w:tc>
          <w:tcPr>
            <w:tcW w:w="12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0.70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 %</w:t>
            </w:r>
          </w:p>
        </w:tc>
      </w:tr>
    </w:tbl>
    <w:p>
      <w:pPr>
        <w:spacing w:after="0" w:line="143" w:lineRule="exact"/>
        <w:rPr>
          <w:sz w:val="20"/>
          <w:szCs w:val="20"/>
          <w:color w:val="auto"/>
        </w:rPr>
      </w:pPr>
    </w:p>
    <w:p>
      <w:pPr>
        <w:ind w:left="260" w:right="280" w:hanging="252"/>
        <w:spacing w:after="0" w:line="286" w:lineRule="auto"/>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Excludes the impact of excess tax benefits from stock option exercises. See Financial Results Adjusted for Comparability below for a reconciliation of adjusted non-GAAP financial measures to GAAP.</w:t>
      </w:r>
    </w:p>
    <w:p>
      <w:pPr>
        <w:spacing w:after="0" w:line="40" w:lineRule="exact"/>
        <w:rPr>
          <w:sz w:val="20"/>
          <w:szCs w:val="20"/>
          <w:color w:val="auto"/>
        </w:rPr>
      </w:pPr>
    </w:p>
    <w:p>
      <w:pPr>
        <w:ind w:left="260" w:right="100" w:hanging="212"/>
        <w:spacing w:after="0" w:line="262" w:lineRule="auto"/>
        <w:tabs>
          <w:tab w:leader="none" w:pos="2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Net sales for the first quarter increased 2 percent, with 5 percentage points of sales growth from acquired operations and 3 percentage points of sales growth from the effects of changes in currency translation rates. Sales growth for the quarter was partially offset by a 6 percentage point organic decline.</w:t>
      </w:r>
    </w:p>
    <w:p>
      <w:pPr>
        <w:spacing w:after="0" w:line="70" w:lineRule="exact"/>
        <w:rPr>
          <w:rFonts w:ascii="Arial" w:cs="Arial" w:eastAsia="Arial" w:hAnsi="Arial"/>
          <w:sz w:val="20"/>
          <w:szCs w:val="20"/>
          <w:color w:val="auto"/>
        </w:rPr>
      </w:pPr>
    </w:p>
    <w:p>
      <w:pPr>
        <w:jc w:val="both"/>
        <w:ind w:left="260" w:right="280" w:hanging="212"/>
        <w:spacing w:after="0" w:line="262" w:lineRule="auto"/>
        <w:tabs>
          <w:tab w:leader="none" w:pos="2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gross margin rate was lower than the first quarter last year, primarily due to unfavorable product and channel mix and lower margin rates of acquired operations. Price realization was able to mostly offset the impact of incremental tariffs of $7 million.</w:t>
      </w:r>
    </w:p>
    <w:p>
      <w:pPr>
        <w:spacing w:after="0" w:line="70" w:lineRule="exact"/>
        <w:rPr>
          <w:rFonts w:ascii="Arial" w:cs="Arial" w:eastAsia="Arial" w:hAnsi="Arial"/>
          <w:sz w:val="20"/>
          <w:szCs w:val="20"/>
          <w:color w:val="auto"/>
        </w:rPr>
      </w:pPr>
    </w:p>
    <w:p>
      <w:pPr>
        <w:ind w:left="260" w:right="300" w:hanging="212"/>
        <w:spacing w:after="0" w:line="271" w:lineRule="auto"/>
        <w:tabs>
          <w:tab w:leader="none" w:pos="2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Operating expenses increased 7 percent, including 4 percentage points from acquired operations and 3 percentage points from the effects of currency translation.</w:t>
      </w:r>
    </w:p>
    <w:p>
      <w:pPr>
        <w:spacing w:after="0" w:line="61" w:lineRule="exact"/>
        <w:rPr>
          <w:rFonts w:ascii="Arial" w:cs="Arial" w:eastAsia="Arial" w:hAnsi="Arial"/>
          <w:sz w:val="20"/>
          <w:szCs w:val="20"/>
          <w:color w:val="auto"/>
        </w:rPr>
      </w:pPr>
    </w:p>
    <w:p>
      <w:pPr>
        <w:ind w:left="240" w:hanging="192"/>
        <w:spacing w:after="0"/>
        <w:tabs>
          <w:tab w:leader="none" w:pos="2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Operating earnings decreased 4 percent, due to a lower gross margin rate and increased expenses.</w:t>
      </w:r>
    </w:p>
    <w:p>
      <w:pPr>
        <w:spacing w:after="0" w:line="121" w:lineRule="exact"/>
        <w:rPr>
          <w:rFonts w:ascii="Arial" w:cs="Arial" w:eastAsia="Arial" w:hAnsi="Arial"/>
          <w:sz w:val="20"/>
          <w:szCs w:val="20"/>
          <w:color w:val="auto"/>
        </w:rPr>
      </w:pPr>
    </w:p>
    <w:p>
      <w:pPr>
        <w:ind w:left="260" w:right="120" w:hanging="212"/>
        <w:spacing w:after="0" w:line="262" w:lineRule="auto"/>
        <w:tabs>
          <w:tab w:leader="none" w:pos="2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Net earnings decreased 5 percent for the first quarter. Adjusted net earnings decreased 7 percent, driven by lower operating earnings and a prior year gain from the sale of a former manufacturing and distribution facility in Switzerland that did not repeat.</w:t>
      </w:r>
    </w:p>
    <w:p>
      <w:pPr>
        <w:spacing w:after="0" w:line="192"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"Sales increased 2 percent in the quarter, with contributions from acquired businesses offsetting organic revenue declines," said Mark Sheahan, Graco’s President and Chief Executive Officer. "In the Contractor segment, demand in infrastructure-related markets continued to be strong and resilient while residential construction activity remained soft. Industrial segment results were impacted by the timing of completion of</w:t>
      </w:r>
    </w:p>
    <w:p>
      <w:pPr>
        <w:sectPr>
          <w:pgSz w:w="11900" w:h="16838" w:orient="portrait"/>
          <w:cols w:equalWidth="0" w:num="1">
            <w:col w:w="11200"/>
          </w:cols>
          <w:pgMar w:left="320" w:top="850" w:right="379" w:bottom="1440" w:gutter="0" w:footer="0" w:header="0"/>
        </w:sectPr>
      </w:pPr>
    </w:p>
    <w:bookmarkStart w:id="29" w:name="page30"/>
    <w:bookmarkEnd w:id="29"/>
    <w:p>
      <w:pPr>
        <w:spacing w:after="0"/>
        <w:rPr>
          <w:sz w:val="20"/>
          <w:szCs w:val="20"/>
          <w:color w:val="auto"/>
        </w:rPr>
      </w:pPr>
      <w:r>
        <w:rPr>
          <w:rFonts w:ascii="Arial" w:cs="Arial" w:eastAsia="Arial" w:hAnsi="Arial"/>
          <w:sz w:val="20"/>
          <w:szCs w:val="20"/>
          <w:b w:val="1"/>
          <w:bCs w:val="1"/>
          <w:color w:val="auto"/>
        </w:rPr>
        <w:t>Page 2 GRACO</w:t>
      </w:r>
    </w:p>
    <w:p>
      <w:pPr>
        <w:spacing w:after="0" w:line="258" w:lineRule="exact"/>
        <w:rPr>
          <w:sz w:val="20"/>
          <w:szCs w:val="20"/>
          <w:color w:val="auto"/>
        </w:rPr>
      </w:pPr>
    </w:p>
    <w:p>
      <w:pPr>
        <w:ind w:right="500"/>
        <w:spacing w:after="0" w:line="257" w:lineRule="auto"/>
        <w:rPr>
          <w:sz w:val="20"/>
          <w:szCs w:val="20"/>
          <w:color w:val="auto"/>
        </w:rPr>
      </w:pPr>
      <w:r>
        <w:rPr>
          <w:rFonts w:ascii="Arial" w:cs="Arial" w:eastAsia="Arial" w:hAnsi="Arial"/>
          <w:sz w:val="20"/>
          <w:szCs w:val="20"/>
          <w:color w:val="auto"/>
        </w:rPr>
        <w:t>powder finishing systems and other project activity. Despite a slower start to the year, incoming order rates improved as we progressed throughout the quarter."</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Results</w:t>
      </w:r>
    </w:p>
    <w:p>
      <w:pPr>
        <w:spacing w:after="0" w:line="258"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color w:val="auto"/>
        </w:rPr>
        <w:t>Net sales for the first quarter increased 2 percent from the comparable period last year. First quarter net sales increased 3 percent in the Americas (3 percent at consistent translation rates), increased 4 percent in EMEA (decreased 5 percent at consistent translation rates), and decreased 5 percent in Asia Pacific (8 percent at consistent translation rates). Changes in currency translation rates increased net sales by approximately $17 million for the first quarter. Acquired operations contributed $26 million of sales growth for the first quarter.</w:t>
      </w:r>
    </w:p>
    <w:p>
      <w:pPr>
        <w:spacing w:after="0" w:line="214" w:lineRule="exact"/>
        <w:rPr>
          <w:sz w:val="20"/>
          <w:szCs w:val="20"/>
          <w:color w:val="auto"/>
        </w:rPr>
      </w:pPr>
    </w:p>
    <w:p>
      <w:pPr>
        <w:ind w:right="80"/>
        <w:spacing w:after="0" w:line="262" w:lineRule="auto"/>
        <w:rPr>
          <w:sz w:val="20"/>
          <w:szCs w:val="20"/>
          <w:color w:val="auto"/>
        </w:rPr>
      </w:pPr>
      <w:r>
        <w:rPr>
          <w:rFonts w:ascii="Arial" w:cs="Arial" w:eastAsia="Arial" w:hAnsi="Arial"/>
          <w:sz w:val="20"/>
          <w:szCs w:val="20"/>
          <w:color w:val="auto"/>
        </w:rPr>
        <w:t>The first quarter gross margin rate was lower than the first quarter last year, primarily due to unfavorable product and channel mix and lower margin rates of acquired operations. Price realization was able to mostly offset the impact of incremental tariffs of $7 million.</w:t>
      </w:r>
    </w:p>
    <w:p>
      <w:pPr>
        <w:spacing w:after="0" w:line="205" w:lineRule="exact"/>
        <w:rPr>
          <w:sz w:val="20"/>
          <w:szCs w:val="20"/>
          <w:color w:val="auto"/>
        </w:rPr>
      </w:pPr>
    </w:p>
    <w:p>
      <w:pPr>
        <w:ind w:right="200"/>
        <w:spacing w:after="0" w:line="271" w:lineRule="auto"/>
        <w:rPr>
          <w:sz w:val="20"/>
          <w:szCs w:val="20"/>
          <w:color w:val="auto"/>
        </w:rPr>
      </w:pPr>
      <w:r>
        <w:rPr>
          <w:rFonts w:ascii="Arial" w:cs="Arial" w:eastAsia="Arial" w:hAnsi="Arial"/>
          <w:sz w:val="20"/>
          <w:szCs w:val="20"/>
          <w:color w:val="auto"/>
        </w:rPr>
        <w:t>Total operating expenses for the first quarter increased $9 million (7 percent), including approximately $5 million (4 percentage points) from acquired operations and $4 million (3 percentage points) from the effects of currency translation.</w:t>
      </w:r>
    </w:p>
    <w:p>
      <w:pPr>
        <w:spacing w:after="0" w:line="196" w:lineRule="exact"/>
        <w:rPr>
          <w:sz w:val="20"/>
          <w:szCs w:val="20"/>
          <w:color w:val="auto"/>
        </w:rPr>
      </w:pPr>
    </w:p>
    <w:p>
      <w:pPr>
        <w:ind w:right="140"/>
        <w:spacing w:after="0" w:line="271" w:lineRule="auto"/>
        <w:rPr>
          <w:sz w:val="20"/>
          <w:szCs w:val="20"/>
          <w:color w:val="auto"/>
        </w:rPr>
      </w:pPr>
      <w:r>
        <w:rPr>
          <w:rFonts w:ascii="Arial" w:cs="Arial" w:eastAsia="Arial" w:hAnsi="Arial"/>
          <w:sz w:val="20"/>
          <w:szCs w:val="20"/>
          <w:color w:val="auto"/>
        </w:rPr>
        <w:t>Other non-operating income for the first quarter decreased $5 million compared to the same period last year due to a prior year gain from the sale of a former manufacturing and distribution facility in Switzerland that did not repeat.</w:t>
      </w:r>
    </w:p>
    <w:p>
      <w:pPr>
        <w:spacing w:after="0" w:line="196" w:lineRule="exact"/>
        <w:rPr>
          <w:sz w:val="20"/>
          <w:szCs w:val="20"/>
          <w:color w:val="auto"/>
        </w:rPr>
      </w:pPr>
    </w:p>
    <w:p>
      <w:pPr>
        <w:spacing w:after="0" w:line="259" w:lineRule="auto"/>
        <w:rPr>
          <w:sz w:val="20"/>
          <w:szCs w:val="20"/>
          <w:color w:val="auto"/>
        </w:rPr>
      </w:pPr>
      <w:r>
        <w:rPr>
          <w:rFonts w:ascii="Arial" w:cs="Arial" w:eastAsia="Arial" w:hAnsi="Arial"/>
          <w:sz w:val="20"/>
          <w:szCs w:val="20"/>
          <w:color w:val="auto"/>
        </w:rPr>
        <w:t>The effective income tax rate was 15 percent for the quarter, down approximately 3 percentage points from the first quarter last year. The decrease was due primarily to an increase in excess tax benefits related to stock option exercises. Adjusted to exclude the impacts of excess tax benefits from stock option exercises (see Financial Results Adjusted for Comparability below), the adjusted effective income tax rate of 20 percent was comparable to the same period last year.</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Results</w:t>
      </w:r>
    </w:p>
    <w:p>
      <w:pPr>
        <w:spacing w:after="0" w:line="123"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Management assesses performance of segments by reference to operating earnings excluding unallocated corporate expenses. For a reconciliation of segment operating earnings to consolidated operating earnings, refer to the segment information table included in the financial statement section of this release. Certain measurements of segment operations are summarized below:</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5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20"/>
                <w:szCs w:val="20"/>
                <w:color w:val="auto"/>
                <w:w w:val="98"/>
              </w:rPr>
              <w:t>Three Months</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6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20"/>
                <w:szCs w:val="20"/>
                <w:color w:val="auto"/>
              </w:rPr>
              <w:t>Contractor</w:t>
            </w:r>
          </w:p>
        </w:tc>
        <w:tc>
          <w:tcPr>
            <w:tcW w:w="220" w:type="dxa"/>
            <w:vAlign w:val="bottom"/>
          </w:tcPr>
          <w:p>
            <w:pPr>
              <w:spacing w:after="0"/>
              <w:rPr>
                <w:sz w:val="16"/>
                <w:szCs w:val="16"/>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20"/>
                <w:szCs w:val="20"/>
                <w:color w:val="auto"/>
                <w:w w:val="98"/>
              </w:rPr>
              <w:t>Industrial</w:t>
            </w:r>
          </w:p>
        </w:tc>
        <w:tc>
          <w:tcPr>
            <w:tcW w:w="220" w:type="dxa"/>
            <w:vAlign w:val="bottom"/>
          </w:tcPr>
          <w:p>
            <w:pPr>
              <w:spacing w:after="0"/>
              <w:rPr>
                <w:sz w:val="16"/>
                <w:szCs w:val="16"/>
                <w:color w:val="auto"/>
              </w:rPr>
            </w:pPr>
          </w:p>
        </w:tc>
        <w:tc>
          <w:tcPr>
            <w:tcW w:w="1280" w:type="dxa"/>
            <w:vAlign w:val="bottom"/>
          </w:tcPr>
          <w:p>
            <w:pPr>
              <w:jc w:val="right"/>
              <w:ind w:right="181"/>
              <w:spacing w:after="0" w:line="189" w:lineRule="exact"/>
              <w:rPr>
                <w:sz w:val="20"/>
                <w:szCs w:val="20"/>
                <w:color w:val="auto"/>
              </w:rPr>
            </w:pPr>
            <w:r>
              <w:rPr>
                <w:rFonts w:ascii="Arial" w:cs="Arial" w:eastAsia="Arial" w:hAnsi="Arial"/>
                <w:sz w:val="20"/>
                <w:szCs w:val="20"/>
                <w:color w:val="auto"/>
              </w:rPr>
              <w:t>Expansion</w:t>
            </w:r>
          </w:p>
        </w:tc>
        <w:tc>
          <w:tcPr>
            <w:tcW w:w="0" w:type="dxa"/>
            <w:vAlign w:val="bottom"/>
          </w:tcPr>
          <w:p>
            <w:pPr>
              <w:spacing w:after="0"/>
              <w:rPr>
                <w:sz w:val="1"/>
                <w:szCs w:val="1"/>
                <w:color w:val="auto"/>
              </w:rPr>
            </w:pPr>
          </w:p>
        </w:tc>
      </w:tr>
      <w:tr>
        <w:trPr>
          <w:trHeight w:val="251"/>
        </w:trPr>
        <w:tc>
          <w:tcPr>
            <w:tcW w:w="6560" w:type="dxa"/>
            <w:vAlign w:val="bottom"/>
            <w:vMerge w:val="restart"/>
          </w:tcPr>
          <w:p>
            <w:pPr>
              <w:ind w:left="20"/>
              <w:spacing w:after="0"/>
              <w:rPr>
                <w:sz w:val="20"/>
                <w:szCs w:val="20"/>
                <w:color w:val="auto"/>
              </w:rPr>
            </w:pPr>
            <w:r>
              <w:rPr>
                <w:rFonts w:ascii="Arial" w:cs="Arial" w:eastAsia="Arial" w:hAnsi="Arial"/>
                <w:sz w:val="20"/>
                <w:szCs w:val="20"/>
                <w:color w:val="auto"/>
              </w:rPr>
              <w:t>Net Sales (in millions)</w:t>
            </w:r>
          </w:p>
        </w:tc>
        <w:tc>
          <w:tcPr>
            <w:tcW w:w="20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301"/>
              <w:spacing w:after="0"/>
              <w:rPr>
                <w:sz w:val="20"/>
                <w:szCs w:val="20"/>
                <w:color w:val="auto"/>
              </w:rPr>
            </w:pPr>
            <w:r>
              <w:rPr>
                <w:rFonts w:ascii="Arial" w:cs="Arial" w:eastAsia="Arial" w:hAnsi="Arial"/>
                <w:sz w:val="20"/>
                <w:szCs w:val="20"/>
                <w:color w:val="auto"/>
              </w:rPr>
              <w:t>Markets</w:t>
            </w:r>
          </w:p>
        </w:tc>
        <w:tc>
          <w:tcPr>
            <w:tcW w:w="0" w:type="dxa"/>
            <w:vAlign w:val="bottom"/>
          </w:tcPr>
          <w:p>
            <w:pPr>
              <w:spacing w:after="0"/>
              <w:rPr>
                <w:sz w:val="1"/>
                <w:szCs w:val="1"/>
                <w:color w:val="auto"/>
              </w:rPr>
            </w:pPr>
          </w:p>
        </w:tc>
      </w:tr>
      <w:tr>
        <w:trPr>
          <w:trHeight w:val="250"/>
        </w:trPr>
        <w:tc>
          <w:tcPr>
            <w:tcW w:w="6560" w:type="dxa"/>
            <w:vAlign w:val="bottom"/>
            <w:vMerge w:val="continue"/>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260" w:type="dxa"/>
            <w:vAlign w:val="bottom"/>
            <w:tcBorders>
              <w:top w:val="single" w:sz="8" w:color="auto"/>
            </w:tcBorders>
          </w:tcPr>
          <w:p>
            <w:pPr>
              <w:jc w:val="right"/>
              <w:ind w:right="161"/>
              <w:spacing w:after="0"/>
              <w:rPr>
                <w:sz w:val="20"/>
                <w:szCs w:val="20"/>
                <w:color w:val="auto"/>
              </w:rPr>
            </w:pPr>
            <w:r>
              <w:rPr>
                <w:rFonts w:ascii="Arial" w:cs="Arial" w:eastAsia="Arial" w:hAnsi="Arial"/>
                <w:sz w:val="20"/>
                <w:szCs w:val="20"/>
                <w:color w:val="auto"/>
              </w:rPr>
              <w:t>260.0</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top w:val="single" w:sz="8" w:color="auto"/>
            </w:tcBorders>
          </w:tcPr>
          <w:p>
            <w:pPr>
              <w:jc w:val="right"/>
              <w:ind w:right="161"/>
              <w:spacing w:after="0"/>
              <w:rPr>
                <w:sz w:val="20"/>
                <w:szCs w:val="20"/>
                <w:color w:val="auto"/>
              </w:rPr>
            </w:pPr>
            <w:r>
              <w:rPr>
                <w:rFonts w:ascii="Arial" w:cs="Arial" w:eastAsia="Arial" w:hAnsi="Arial"/>
                <w:sz w:val="20"/>
                <w:szCs w:val="20"/>
                <w:color w:val="auto"/>
              </w:rPr>
              <w:t>240.4</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80" w:type="dxa"/>
            <w:vAlign w:val="bottom"/>
            <w:tcBorders>
              <w:top w:val="single" w:sz="8" w:color="auto"/>
            </w:tcBorders>
          </w:tcPr>
          <w:p>
            <w:pPr>
              <w:jc w:val="right"/>
              <w:ind w:right="161"/>
              <w:spacing w:after="0"/>
              <w:rPr>
                <w:sz w:val="20"/>
                <w:szCs w:val="20"/>
                <w:color w:val="auto"/>
              </w:rPr>
            </w:pPr>
            <w:r>
              <w:rPr>
                <w:rFonts w:ascii="Arial" w:cs="Arial" w:eastAsia="Arial" w:hAnsi="Arial"/>
                <w:sz w:val="20"/>
                <w:szCs w:val="20"/>
                <w:color w:val="auto"/>
              </w:rPr>
              <w:t>39.7</w:t>
            </w:r>
          </w:p>
        </w:tc>
        <w:tc>
          <w:tcPr>
            <w:tcW w:w="0" w:type="dxa"/>
            <w:vAlign w:val="bottom"/>
          </w:tcPr>
          <w:p>
            <w:pPr>
              <w:spacing w:after="0"/>
              <w:rPr>
                <w:sz w:val="1"/>
                <w:szCs w:val="1"/>
                <w:color w:val="auto"/>
              </w:rPr>
            </w:pPr>
          </w:p>
        </w:tc>
      </w:tr>
      <w:tr>
        <w:trPr>
          <w:trHeight w:val="257"/>
        </w:trPr>
        <w:tc>
          <w:tcPr>
            <w:tcW w:w="6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Percentage change from last year</w:t>
            </w: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560" w:type="dxa"/>
            <w:vAlign w:val="bottom"/>
          </w:tcPr>
          <w:p>
            <w:pPr>
              <w:ind w:left="220"/>
              <w:spacing w:after="0"/>
              <w:rPr>
                <w:sz w:val="20"/>
                <w:szCs w:val="20"/>
                <w:color w:val="auto"/>
              </w:rPr>
            </w:pPr>
            <w:r>
              <w:rPr>
                <w:rFonts w:ascii="Arial" w:cs="Arial" w:eastAsia="Arial" w:hAnsi="Arial"/>
                <w:sz w:val="20"/>
                <w:szCs w:val="20"/>
                <w:color w:val="auto"/>
              </w:rPr>
              <w:t>Sales</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2 %</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4 %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57"/>
        </w:trPr>
        <w:tc>
          <w:tcPr>
            <w:tcW w:w="6560" w:type="dxa"/>
            <w:vAlign w:val="bottom"/>
            <w:shd w:val="clear" w:color="auto" w:fill="CCEEFF"/>
          </w:tcPr>
          <w:p>
            <w:pPr>
              <w:ind w:left="220"/>
              <w:spacing w:after="0"/>
              <w:rPr>
                <w:sz w:val="20"/>
                <w:szCs w:val="20"/>
                <w:color w:val="auto"/>
              </w:rPr>
            </w:pPr>
            <w:r>
              <w:rPr>
                <w:rFonts w:ascii="Arial" w:cs="Arial" w:eastAsia="Arial" w:hAnsi="Arial"/>
                <w:sz w:val="20"/>
                <w:szCs w:val="20"/>
                <w:color w:val="auto"/>
              </w:rPr>
              <w:t>Operating earnings</w:t>
            </w: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0 %</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56"/>
        </w:trPr>
        <w:tc>
          <w:tcPr>
            <w:tcW w:w="6560" w:type="dxa"/>
            <w:vAlign w:val="bottom"/>
          </w:tcPr>
          <w:p>
            <w:pPr>
              <w:ind w:left="20"/>
              <w:spacing w:after="0"/>
              <w:rPr>
                <w:sz w:val="20"/>
                <w:szCs w:val="20"/>
                <w:color w:val="auto"/>
              </w:rPr>
            </w:pPr>
            <w:r>
              <w:rPr>
                <w:rFonts w:ascii="Arial" w:cs="Arial" w:eastAsia="Arial" w:hAnsi="Arial"/>
                <w:sz w:val="20"/>
                <w:szCs w:val="20"/>
                <w:color w:val="auto"/>
              </w:rPr>
              <w:t>Operating earnings as a percentage of sales</w:t>
            </w: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560" w:type="dxa"/>
            <w:vAlign w:val="bottom"/>
            <w:shd w:val="clear" w:color="auto" w:fill="CCEEFF"/>
          </w:tcPr>
          <w:p>
            <w:pPr>
              <w:ind w:left="220"/>
              <w:spacing w:after="0"/>
              <w:rPr>
                <w:sz w:val="20"/>
                <w:szCs w:val="20"/>
                <w:color w:val="auto"/>
              </w:rPr>
            </w:pPr>
            <w:r>
              <w:rPr>
                <w:rFonts w:ascii="Arial" w:cs="Arial" w:eastAsia="Arial" w:hAnsi="Arial"/>
                <w:sz w:val="20"/>
                <w:szCs w:val="20"/>
                <w:color w:val="auto"/>
              </w:rPr>
              <w:t>2026</w:t>
            </w: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24 %</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24 %</w:t>
            </w:r>
          </w:p>
        </w:tc>
        <w:tc>
          <w:tcPr>
            <w:tcW w:w="0" w:type="dxa"/>
            <w:vAlign w:val="bottom"/>
          </w:tcPr>
          <w:p>
            <w:pPr>
              <w:spacing w:after="0"/>
              <w:rPr>
                <w:sz w:val="1"/>
                <w:szCs w:val="1"/>
                <w:color w:val="auto"/>
              </w:rPr>
            </w:pPr>
          </w:p>
        </w:tc>
      </w:tr>
      <w:tr>
        <w:trPr>
          <w:trHeight w:val="261"/>
        </w:trPr>
        <w:tc>
          <w:tcPr>
            <w:tcW w:w="6560" w:type="dxa"/>
            <w:vAlign w:val="bottom"/>
          </w:tcPr>
          <w:p>
            <w:pPr>
              <w:ind w:left="220"/>
              <w:spacing w:after="0"/>
              <w:rPr>
                <w:sz w:val="20"/>
                <w:szCs w:val="20"/>
                <w:color w:val="auto"/>
              </w:rPr>
            </w:pPr>
            <w:r>
              <w:rPr>
                <w:rFonts w:ascii="Arial" w:cs="Arial" w:eastAsia="Arial" w:hAnsi="Arial"/>
                <w:sz w:val="20"/>
                <w:szCs w:val="20"/>
                <w:color w:val="auto"/>
              </w:rPr>
              <w:t>2025</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24 %</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34 %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24 %</w:t>
            </w:r>
          </w:p>
        </w:tc>
        <w:tc>
          <w:tcPr>
            <w:tcW w:w="0" w:type="dxa"/>
            <w:vAlign w:val="bottom"/>
          </w:tcPr>
          <w:p>
            <w:pPr>
              <w:spacing w:after="0"/>
              <w:rPr>
                <w:sz w:val="1"/>
                <w:szCs w:val="1"/>
                <w:color w:val="auto"/>
              </w:rPr>
            </w:pPr>
          </w:p>
        </w:tc>
      </w:tr>
    </w:tbl>
    <w:p>
      <w:pPr>
        <w:sectPr>
          <w:pgSz w:w="11900" w:h="16838" w:orient="portrait"/>
          <w:cols w:equalWidth="0" w:num="1">
            <w:col w:w="11240"/>
          </w:cols>
          <w:pgMar w:left="320" w:top="359" w:right="339" w:bottom="1440" w:gutter="0" w:footer="0" w:header="0"/>
        </w:sectPr>
      </w:pPr>
    </w:p>
    <w:bookmarkStart w:id="30" w:name="page31"/>
    <w:bookmarkEnd w:id="30"/>
    <w:p>
      <w:pPr>
        <w:spacing w:after="0"/>
        <w:rPr>
          <w:sz w:val="20"/>
          <w:szCs w:val="20"/>
          <w:color w:val="auto"/>
        </w:rPr>
      </w:pPr>
      <w:r>
        <w:rPr>
          <w:rFonts w:ascii="Arial" w:cs="Arial" w:eastAsia="Arial" w:hAnsi="Arial"/>
          <w:sz w:val="20"/>
          <w:szCs w:val="20"/>
          <w:b w:val="1"/>
          <w:bCs w:val="1"/>
          <w:color w:val="auto"/>
        </w:rPr>
        <w:t>Page 3 GRACO</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Components of net sales change by geographic region for the Contractor segment were as follows:</w:t>
      </w:r>
    </w:p>
    <w:p>
      <w:pPr>
        <w:spacing w:after="0" w:line="40" w:lineRule="exact"/>
        <w:rPr>
          <w:sz w:val="20"/>
          <w:szCs w:val="20"/>
          <w:color w:val="auto"/>
        </w:rPr>
      </w:pPr>
    </w:p>
    <w:p>
      <w:pPr>
        <w:ind w:left="7680"/>
        <w:spacing w:after="0"/>
        <w:rPr>
          <w:sz w:val="20"/>
          <w:szCs w:val="20"/>
          <w:color w:val="auto"/>
        </w:rPr>
      </w:pPr>
      <w:r>
        <w:rPr>
          <w:rFonts w:ascii="Arial" w:cs="Arial" w:eastAsia="Arial" w:hAnsi="Arial"/>
          <w:sz w:val="20"/>
          <w:szCs w:val="20"/>
          <w:color w:val="auto"/>
        </w:rPr>
        <w:t>Three Months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400" w:type="dxa"/>
            <w:vAlign w:val="bottom"/>
          </w:tcPr>
          <w:p>
            <w:pPr>
              <w:spacing w:after="0"/>
              <w:rPr>
                <w:sz w:val="16"/>
                <w:szCs w:val="16"/>
                <w:color w:val="auto"/>
              </w:rPr>
            </w:pPr>
          </w:p>
        </w:tc>
        <w:tc>
          <w:tcPr>
            <w:tcW w:w="1480" w:type="dxa"/>
            <w:vAlign w:val="bottom"/>
            <w:tcBorders>
              <w:top w:val="single" w:sz="8" w:color="auto"/>
            </w:tcBorders>
            <w:gridSpan w:val="2"/>
          </w:tcPr>
          <w:p>
            <w:pPr>
              <w:jc w:val="center"/>
              <w:ind w:right="100"/>
              <w:spacing w:after="0" w:line="191" w:lineRule="exact"/>
              <w:rPr>
                <w:sz w:val="20"/>
                <w:szCs w:val="20"/>
                <w:color w:val="auto"/>
              </w:rPr>
            </w:pPr>
            <w:r>
              <w:rPr>
                <w:rFonts w:ascii="Arial" w:cs="Arial" w:eastAsia="Arial" w:hAnsi="Arial"/>
                <w:sz w:val="20"/>
                <w:szCs w:val="20"/>
                <w:color w:val="auto"/>
                <w:w w:val="99"/>
              </w:rPr>
              <w:t>Volume and</w:t>
            </w:r>
          </w:p>
        </w:tc>
        <w:tc>
          <w:tcPr>
            <w:tcW w:w="148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20"/>
                <w:szCs w:val="20"/>
                <w:color w:val="auto"/>
                <w:w w:val="97"/>
              </w:rPr>
              <w:t>Acquisitions</w:t>
            </w:r>
          </w:p>
        </w:tc>
        <w:tc>
          <w:tcPr>
            <w:tcW w:w="146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20"/>
                <w:szCs w:val="20"/>
                <w:color w:val="auto"/>
                <w:w w:val="98"/>
              </w:rPr>
              <w:t>Currency</w:t>
            </w:r>
          </w:p>
        </w:tc>
        <w:tc>
          <w:tcPr>
            <w:tcW w:w="1360" w:type="dxa"/>
            <w:vAlign w:val="bottom"/>
            <w:tcBorders>
              <w:top w:val="single" w:sz="8" w:color="auto"/>
            </w:tcBorders>
            <w:vMerge w:val="restart"/>
          </w:tcPr>
          <w:p>
            <w:pPr>
              <w:jc w:val="right"/>
              <w:ind w:right="38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153"/>
        </w:trPr>
        <w:tc>
          <w:tcPr>
            <w:tcW w:w="5400" w:type="dxa"/>
            <w:vAlign w:val="bottom"/>
          </w:tcPr>
          <w:p>
            <w:pPr>
              <w:spacing w:after="0"/>
              <w:rPr>
                <w:sz w:val="13"/>
                <w:szCs w:val="13"/>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20"/>
                <w:szCs w:val="20"/>
                <w:color w:val="auto"/>
              </w:rPr>
              <w:t>Price</w:t>
            </w:r>
          </w:p>
        </w:tc>
        <w:tc>
          <w:tcPr>
            <w:tcW w:w="1480" w:type="dxa"/>
            <w:vAlign w:val="bottom"/>
            <w:gridSpan w:val="2"/>
            <w:vMerge w:val="continue"/>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540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Americas</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9"/>
              </w:rPr>
              <w:t>(2)%</w:t>
            </w:r>
          </w:p>
        </w:tc>
        <w:tc>
          <w:tcPr>
            <w:tcW w:w="10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6"/>
              </w:rPr>
              <w:t>4%</w:t>
            </w:r>
          </w:p>
        </w:tc>
        <w:tc>
          <w:tcPr>
            <w:tcW w:w="12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rPr>
              <w:t>1%</w:t>
            </w:r>
          </w:p>
        </w:tc>
        <w:tc>
          <w:tcPr>
            <w:tcW w:w="10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jc w:val="right"/>
              <w:ind w:right="441"/>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57"/>
        </w:trPr>
        <w:tc>
          <w:tcPr>
            <w:tcW w:w="5400" w:type="dxa"/>
            <w:vAlign w:val="bottom"/>
          </w:tcPr>
          <w:p>
            <w:pPr>
              <w:ind w:left="20"/>
              <w:spacing w:after="0"/>
              <w:rPr>
                <w:sz w:val="20"/>
                <w:szCs w:val="20"/>
                <w:color w:val="auto"/>
              </w:rPr>
            </w:pPr>
            <w:r>
              <w:rPr>
                <w:rFonts w:ascii="Arial" w:cs="Arial" w:eastAsia="Arial" w:hAnsi="Arial"/>
                <w:sz w:val="20"/>
                <w:szCs w:val="20"/>
                <w:color w:val="auto"/>
              </w:rPr>
              <w:t>EMEA</w:t>
            </w:r>
          </w:p>
        </w:tc>
        <w:tc>
          <w:tcPr>
            <w:tcW w:w="1380" w:type="dxa"/>
            <w:vAlign w:val="bottom"/>
          </w:tcPr>
          <w:p>
            <w:pPr>
              <w:jc w:val="center"/>
              <w:spacing w:after="0"/>
              <w:rPr>
                <w:sz w:val="20"/>
                <w:szCs w:val="20"/>
                <w:color w:val="auto"/>
              </w:rPr>
            </w:pPr>
            <w:r>
              <w:rPr>
                <w:rFonts w:ascii="Arial" w:cs="Arial" w:eastAsia="Arial" w:hAnsi="Arial"/>
                <w:sz w:val="20"/>
                <w:szCs w:val="20"/>
                <w:color w:val="auto"/>
                <w:w w:val="99"/>
              </w:rPr>
              <w:t>(6)%</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96"/>
              </w:rPr>
              <w:t>0%</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rPr>
              <w:t>9%</w:t>
            </w:r>
          </w:p>
        </w:tc>
        <w:tc>
          <w:tcPr>
            <w:tcW w:w="100" w:type="dxa"/>
            <w:vAlign w:val="bottom"/>
          </w:tcPr>
          <w:p>
            <w:pPr>
              <w:spacing w:after="0"/>
              <w:rPr>
                <w:sz w:val="22"/>
                <w:szCs w:val="22"/>
                <w:color w:val="auto"/>
              </w:rPr>
            </w:pPr>
          </w:p>
        </w:tc>
        <w:tc>
          <w:tcPr>
            <w:tcW w:w="1360" w:type="dxa"/>
            <w:vAlign w:val="bottom"/>
          </w:tcPr>
          <w:p>
            <w:pPr>
              <w:jc w:val="right"/>
              <w:ind w:right="441"/>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57"/>
        </w:trPr>
        <w:tc>
          <w:tcPr>
            <w:tcW w:w="5400" w:type="dxa"/>
            <w:vAlign w:val="bottom"/>
            <w:shd w:val="clear" w:color="auto" w:fill="CCEEFF"/>
          </w:tcPr>
          <w:p>
            <w:pPr>
              <w:ind w:left="20"/>
              <w:spacing w:after="0"/>
              <w:rPr>
                <w:sz w:val="20"/>
                <w:szCs w:val="20"/>
                <w:color w:val="auto"/>
              </w:rPr>
            </w:pPr>
            <w:r>
              <w:rPr>
                <w:rFonts w:ascii="Arial" w:cs="Arial" w:eastAsia="Arial" w:hAnsi="Arial"/>
                <w:sz w:val="20"/>
                <w:szCs w:val="20"/>
                <w:color w:val="auto"/>
              </w:rPr>
              <w:t>Asia Pacific</w:t>
            </w:r>
          </w:p>
        </w:tc>
        <w:tc>
          <w:tcPr>
            <w:tcW w:w="138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(12)%</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6"/>
              </w:rPr>
              <w:t>0%</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5%</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81"/>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61"/>
        </w:trPr>
        <w:tc>
          <w:tcPr>
            <w:tcW w:w="5400" w:type="dxa"/>
            <w:vAlign w:val="bottom"/>
          </w:tcPr>
          <w:p>
            <w:pPr>
              <w:ind w:left="20"/>
              <w:spacing w:after="0"/>
              <w:rPr>
                <w:sz w:val="20"/>
                <w:szCs w:val="20"/>
                <w:color w:val="auto"/>
              </w:rPr>
            </w:pPr>
            <w:r>
              <w:rPr>
                <w:rFonts w:ascii="Arial" w:cs="Arial" w:eastAsia="Arial" w:hAnsi="Arial"/>
                <w:sz w:val="20"/>
                <w:szCs w:val="20"/>
                <w:color w:val="auto"/>
              </w:rPr>
              <w:t>Consolidated</w:t>
            </w:r>
          </w:p>
        </w:tc>
        <w:tc>
          <w:tcPr>
            <w:tcW w:w="1380" w:type="dxa"/>
            <w:vAlign w:val="bottom"/>
          </w:tcPr>
          <w:p>
            <w:pPr>
              <w:jc w:val="center"/>
              <w:spacing w:after="0"/>
              <w:rPr>
                <w:sz w:val="20"/>
                <w:szCs w:val="20"/>
                <w:color w:val="auto"/>
              </w:rPr>
            </w:pPr>
            <w:r>
              <w:rPr>
                <w:rFonts w:ascii="Arial" w:cs="Arial" w:eastAsia="Arial" w:hAnsi="Arial"/>
                <w:sz w:val="20"/>
                <w:szCs w:val="20"/>
                <w:color w:val="auto"/>
                <w:w w:val="99"/>
              </w:rPr>
              <w:t>(4)%</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96"/>
              </w:rPr>
              <w:t>3%</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rPr>
              <w:t>3%</w:t>
            </w:r>
          </w:p>
        </w:tc>
        <w:tc>
          <w:tcPr>
            <w:tcW w:w="100" w:type="dxa"/>
            <w:vAlign w:val="bottom"/>
          </w:tcPr>
          <w:p>
            <w:pPr>
              <w:spacing w:after="0"/>
              <w:rPr>
                <w:sz w:val="22"/>
                <w:szCs w:val="22"/>
                <w:color w:val="auto"/>
              </w:rPr>
            </w:pPr>
          </w:p>
        </w:tc>
        <w:tc>
          <w:tcPr>
            <w:tcW w:w="1360" w:type="dxa"/>
            <w:vAlign w:val="bottom"/>
          </w:tcPr>
          <w:p>
            <w:pPr>
              <w:jc w:val="right"/>
              <w:ind w:right="441"/>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color w:val="auto"/>
        </w:rPr>
        <w:t>Contractor segment net sales increased 2 percent for the first quarter compared to the same period last year. Incremental sales from acquired operations and favorable changes in currency translation rates were partially offset by continued weakness in the worldwide construction markets. The operating margin rate was flat as price realization offset higher product costs, including increased tariff costs of $4 million.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Components of net sales change by geographic region for the Industrial segment were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400" w:type="dxa"/>
            <w:vAlign w:val="bottom"/>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gridSpan w:val="4"/>
          </w:tcPr>
          <w:p>
            <w:pPr>
              <w:ind w:left="800"/>
              <w:spacing w:after="0"/>
              <w:rPr>
                <w:sz w:val="20"/>
                <w:szCs w:val="20"/>
                <w:color w:val="auto"/>
              </w:rPr>
            </w:pPr>
            <w:r>
              <w:rPr>
                <w:rFonts w:ascii="Arial" w:cs="Arial" w:eastAsia="Arial" w:hAnsi="Arial"/>
                <w:sz w:val="20"/>
                <w:szCs w:val="20"/>
                <w:color w:val="auto"/>
              </w:rPr>
              <w:t>Three Months</w:t>
            </w:r>
          </w:p>
        </w:tc>
        <w:tc>
          <w:tcPr>
            <w:tcW w:w="13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5400" w:type="dxa"/>
            <w:vAlign w:val="bottom"/>
          </w:tcPr>
          <w:p>
            <w:pPr>
              <w:spacing w:after="0"/>
              <w:rPr>
                <w:sz w:val="16"/>
                <w:szCs w:val="16"/>
                <w:color w:val="auto"/>
              </w:rPr>
            </w:pPr>
          </w:p>
        </w:tc>
        <w:tc>
          <w:tcPr>
            <w:tcW w:w="1480" w:type="dxa"/>
            <w:vAlign w:val="bottom"/>
            <w:gridSpan w:val="2"/>
          </w:tcPr>
          <w:p>
            <w:pPr>
              <w:jc w:val="center"/>
              <w:ind w:right="100"/>
              <w:spacing w:after="0" w:line="189" w:lineRule="exact"/>
              <w:rPr>
                <w:sz w:val="20"/>
                <w:szCs w:val="20"/>
                <w:color w:val="auto"/>
              </w:rPr>
            </w:pPr>
            <w:r>
              <w:rPr>
                <w:rFonts w:ascii="Arial" w:cs="Arial" w:eastAsia="Arial" w:hAnsi="Arial"/>
                <w:sz w:val="20"/>
                <w:szCs w:val="20"/>
                <w:color w:val="auto"/>
                <w:w w:val="99"/>
              </w:rPr>
              <w:t>Volume and</w:t>
            </w:r>
          </w:p>
        </w:tc>
        <w:tc>
          <w:tcPr>
            <w:tcW w:w="1480" w:type="dxa"/>
            <w:vAlign w:val="bottom"/>
            <w:gridSpan w:val="2"/>
            <w:vMerge w:val="restart"/>
          </w:tcPr>
          <w:p>
            <w:pPr>
              <w:ind w:left="160"/>
              <w:spacing w:after="0"/>
              <w:rPr>
                <w:sz w:val="20"/>
                <w:szCs w:val="20"/>
                <w:color w:val="auto"/>
              </w:rPr>
            </w:pPr>
            <w:r>
              <w:rPr>
                <w:rFonts w:ascii="Arial" w:cs="Arial" w:eastAsia="Arial" w:hAnsi="Arial"/>
                <w:sz w:val="20"/>
                <w:szCs w:val="20"/>
                <w:color w:val="auto"/>
              </w:rPr>
              <w:t>Acquisitions</w:t>
            </w:r>
          </w:p>
        </w:tc>
        <w:tc>
          <w:tcPr>
            <w:tcW w:w="1460" w:type="dxa"/>
            <w:vAlign w:val="bottom"/>
            <w:gridSpan w:val="2"/>
            <w:vMerge w:val="restart"/>
          </w:tcPr>
          <w:p>
            <w:pPr>
              <w:ind w:left="280"/>
              <w:spacing w:after="0"/>
              <w:rPr>
                <w:sz w:val="20"/>
                <w:szCs w:val="20"/>
                <w:color w:val="auto"/>
              </w:rPr>
            </w:pPr>
            <w:r>
              <w:rPr>
                <w:rFonts w:ascii="Arial" w:cs="Arial" w:eastAsia="Arial" w:hAnsi="Arial"/>
                <w:sz w:val="20"/>
                <w:szCs w:val="20"/>
                <w:color w:val="auto"/>
              </w:rPr>
              <w:t>Currency</w:t>
            </w:r>
          </w:p>
        </w:tc>
        <w:tc>
          <w:tcPr>
            <w:tcW w:w="1360" w:type="dxa"/>
            <w:vAlign w:val="bottom"/>
            <w:vMerge w:val="restart"/>
          </w:tcPr>
          <w:p>
            <w:pPr>
              <w:jc w:val="right"/>
              <w:ind w:right="38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153"/>
        </w:trPr>
        <w:tc>
          <w:tcPr>
            <w:tcW w:w="5400" w:type="dxa"/>
            <w:vAlign w:val="bottom"/>
          </w:tcPr>
          <w:p>
            <w:pPr>
              <w:spacing w:after="0"/>
              <w:rPr>
                <w:sz w:val="13"/>
                <w:szCs w:val="13"/>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20"/>
                <w:szCs w:val="20"/>
                <w:color w:val="auto"/>
              </w:rPr>
              <w:t>Price</w:t>
            </w:r>
          </w:p>
        </w:tc>
        <w:tc>
          <w:tcPr>
            <w:tcW w:w="1480" w:type="dxa"/>
            <w:vAlign w:val="bottom"/>
            <w:gridSpan w:val="2"/>
            <w:vMerge w:val="continue"/>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540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Americas</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rPr>
              <w:t>1%</w:t>
            </w:r>
          </w:p>
        </w:tc>
        <w:tc>
          <w:tcPr>
            <w:tcW w:w="10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6"/>
              </w:rPr>
              <w:t>6%</w:t>
            </w:r>
          </w:p>
        </w:tc>
        <w:tc>
          <w:tcPr>
            <w:tcW w:w="12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rPr>
              <w:t>1%</w:t>
            </w:r>
          </w:p>
        </w:tc>
        <w:tc>
          <w:tcPr>
            <w:tcW w:w="10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jc w:val="right"/>
              <w:ind w:right="441"/>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57"/>
        </w:trPr>
        <w:tc>
          <w:tcPr>
            <w:tcW w:w="5400" w:type="dxa"/>
            <w:vAlign w:val="bottom"/>
          </w:tcPr>
          <w:p>
            <w:pPr>
              <w:ind w:left="20"/>
              <w:spacing w:after="0"/>
              <w:rPr>
                <w:sz w:val="20"/>
                <w:szCs w:val="20"/>
                <w:color w:val="auto"/>
              </w:rPr>
            </w:pPr>
            <w:r>
              <w:rPr>
                <w:rFonts w:ascii="Arial" w:cs="Arial" w:eastAsia="Arial" w:hAnsi="Arial"/>
                <w:sz w:val="20"/>
                <w:szCs w:val="20"/>
                <w:color w:val="auto"/>
              </w:rPr>
              <w:t>EMEA</w:t>
            </w:r>
          </w:p>
        </w:tc>
        <w:tc>
          <w:tcPr>
            <w:tcW w:w="1380" w:type="dxa"/>
            <w:vAlign w:val="bottom"/>
          </w:tcPr>
          <w:p>
            <w:pPr>
              <w:jc w:val="center"/>
              <w:spacing w:after="0"/>
              <w:rPr>
                <w:sz w:val="20"/>
                <w:szCs w:val="20"/>
                <w:color w:val="auto"/>
              </w:rPr>
            </w:pPr>
            <w:r>
              <w:rPr>
                <w:rFonts w:ascii="Arial" w:cs="Arial" w:eastAsia="Arial" w:hAnsi="Arial"/>
                <w:sz w:val="20"/>
                <w:szCs w:val="20"/>
                <w:color w:val="auto"/>
              </w:rPr>
              <w:t>(22)%</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18%</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10%</w:t>
            </w:r>
          </w:p>
        </w:tc>
        <w:tc>
          <w:tcPr>
            <w:tcW w:w="100" w:type="dxa"/>
            <w:vAlign w:val="bottom"/>
          </w:tcPr>
          <w:p>
            <w:pPr>
              <w:spacing w:after="0"/>
              <w:rPr>
                <w:sz w:val="22"/>
                <w:szCs w:val="22"/>
                <w:color w:val="auto"/>
              </w:rPr>
            </w:pPr>
          </w:p>
        </w:tc>
        <w:tc>
          <w:tcPr>
            <w:tcW w:w="1360" w:type="dxa"/>
            <w:vAlign w:val="bottom"/>
          </w:tcPr>
          <w:p>
            <w:pPr>
              <w:jc w:val="right"/>
              <w:ind w:right="441"/>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57"/>
        </w:trPr>
        <w:tc>
          <w:tcPr>
            <w:tcW w:w="5400" w:type="dxa"/>
            <w:vAlign w:val="bottom"/>
            <w:shd w:val="clear" w:color="auto" w:fill="CCEEFF"/>
          </w:tcPr>
          <w:p>
            <w:pPr>
              <w:ind w:left="20"/>
              <w:spacing w:after="0"/>
              <w:rPr>
                <w:sz w:val="20"/>
                <w:szCs w:val="20"/>
                <w:color w:val="auto"/>
              </w:rPr>
            </w:pPr>
            <w:r>
              <w:rPr>
                <w:rFonts w:ascii="Arial" w:cs="Arial" w:eastAsia="Arial" w:hAnsi="Arial"/>
                <w:sz w:val="20"/>
                <w:szCs w:val="20"/>
                <w:color w:val="auto"/>
              </w:rPr>
              <w:t>Asia Pacific</w:t>
            </w:r>
          </w:p>
        </w:tc>
        <w:tc>
          <w:tcPr>
            <w:tcW w:w="138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(12)%</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6"/>
              </w:rPr>
              <w:t>1%</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2%</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81"/>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61"/>
        </w:trPr>
        <w:tc>
          <w:tcPr>
            <w:tcW w:w="5400" w:type="dxa"/>
            <w:vAlign w:val="bottom"/>
          </w:tcPr>
          <w:p>
            <w:pPr>
              <w:ind w:left="20"/>
              <w:spacing w:after="0"/>
              <w:rPr>
                <w:sz w:val="20"/>
                <w:szCs w:val="20"/>
                <w:color w:val="auto"/>
              </w:rPr>
            </w:pPr>
            <w:r>
              <w:rPr>
                <w:rFonts w:ascii="Arial" w:cs="Arial" w:eastAsia="Arial" w:hAnsi="Arial"/>
                <w:sz w:val="20"/>
                <w:szCs w:val="20"/>
                <w:color w:val="auto"/>
              </w:rPr>
              <w:t>Consolidated</w:t>
            </w:r>
          </w:p>
        </w:tc>
        <w:tc>
          <w:tcPr>
            <w:tcW w:w="1380" w:type="dxa"/>
            <w:vAlign w:val="bottom"/>
          </w:tcPr>
          <w:p>
            <w:pPr>
              <w:jc w:val="center"/>
              <w:spacing w:after="0"/>
              <w:rPr>
                <w:sz w:val="20"/>
                <w:szCs w:val="20"/>
                <w:color w:val="auto"/>
              </w:rPr>
            </w:pPr>
            <w:r>
              <w:rPr>
                <w:rFonts w:ascii="Arial" w:cs="Arial" w:eastAsia="Arial" w:hAnsi="Arial"/>
                <w:sz w:val="20"/>
                <w:szCs w:val="20"/>
                <w:color w:val="auto"/>
                <w:w w:val="99"/>
              </w:rPr>
              <w:t>(8)%</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96"/>
              </w:rPr>
              <w:t>8%</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rPr>
              <w:t>4%</w:t>
            </w:r>
          </w:p>
        </w:tc>
        <w:tc>
          <w:tcPr>
            <w:tcW w:w="100" w:type="dxa"/>
            <w:vAlign w:val="bottom"/>
          </w:tcPr>
          <w:p>
            <w:pPr>
              <w:spacing w:after="0"/>
              <w:rPr>
                <w:sz w:val="22"/>
                <w:szCs w:val="22"/>
                <w:color w:val="auto"/>
              </w:rPr>
            </w:pPr>
          </w:p>
        </w:tc>
        <w:tc>
          <w:tcPr>
            <w:tcW w:w="1360" w:type="dxa"/>
            <w:vAlign w:val="bottom"/>
          </w:tcPr>
          <w:p>
            <w:pPr>
              <w:jc w:val="right"/>
              <w:ind w:right="441"/>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right="140"/>
        <w:spacing w:after="0" w:line="245" w:lineRule="auto"/>
        <w:rPr>
          <w:sz w:val="20"/>
          <w:szCs w:val="20"/>
          <w:color w:val="auto"/>
        </w:rPr>
      </w:pPr>
      <w:r>
        <w:rPr>
          <w:rFonts w:ascii="Arial" w:cs="Arial" w:eastAsia="Arial" w:hAnsi="Arial"/>
          <w:sz w:val="20"/>
          <w:szCs w:val="20"/>
          <w:color w:val="auto"/>
        </w:rPr>
        <w:t>Industrial segment sales growth for the first quarter included $20 million (8 percentage points) from acquired operations, which more than offset the impact of the timing of finishing system sales and other project activity compared to the first quarter last year. Higher product costs, including increased tariff costs of $3 million, and unfavorable product and channel mix drove a 2 percentage point decline in the operating margin rate for the quarter.</w:t>
      </w: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color w:val="auto"/>
        </w:rPr>
        <w:t>Components of net sales change by geographic region for the Expansion Markets segment were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400" w:type="dxa"/>
            <w:vAlign w:val="bottom"/>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gridSpan w:val="4"/>
          </w:tcPr>
          <w:p>
            <w:pPr>
              <w:ind w:left="820"/>
              <w:spacing w:after="0"/>
              <w:rPr>
                <w:sz w:val="20"/>
                <w:szCs w:val="20"/>
                <w:color w:val="auto"/>
              </w:rPr>
            </w:pPr>
            <w:r>
              <w:rPr>
                <w:rFonts w:ascii="Arial" w:cs="Arial" w:eastAsia="Arial" w:hAnsi="Arial"/>
                <w:sz w:val="20"/>
                <w:szCs w:val="20"/>
                <w:color w:val="auto"/>
              </w:rPr>
              <w:t>Three Months</w:t>
            </w:r>
          </w:p>
        </w:tc>
        <w:tc>
          <w:tcPr>
            <w:tcW w:w="13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5400" w:type="dxa"/>
            <w:vAlign w:val="bottom"/>
          </w:tcPr>
          <w:p>
            <w:pPr>
              <w:spacing w:after="0"/>
              <w:rPr>
                <w:sz w:val="16"/>
                <w:szCs w:val="16"/>
                <w:color w:val="auto"/>
              </w:rPr>
            </w:pPr>
          </w:p>
        </w:tc>
        <w:tc>
          <w:tcPr>
            <w:tcW w:w="1460" w:type="dxa"/>
            <w:vAlign w:val="bottom"/>
            <w:gridSpan w:val="2"/>
          </w:tcPr>
          <w:p>
            <w:pPr>
              <w:jc w:val="center"/>
              <w:ind w:right="100"/>
              <w:spacing w:after="0" w:line="189" w:lineRule="exact"/>
              <w:rPr>
                <w:sz w:val="20"/>
                <w:szCs w:val="20"/>
                <w:color w:val="auto"/>
              </w:rPr>
            </w:pPr>
            <w:r>
              <w:rPr>
                <w:rFonts w:ascii="Arial" w:cs="Arial" w:eastAsia="Arial" w:hAnsi="Arial"/>
                <w:sz w:val="20"/>
                <w:szCs w:val="20"/>
                <w:color w:val="auto"/>
                <w:w w:val="97"/>
              </w:rPr>
              <w:t>Volume and</w:t>
            </w: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20"/>
                <w:szCs w:val="20"/>
                <w:color w:val="auto"/>
                <w:w w:val="99"/>
              </w:rPr>
              <w:t>Acquisitions</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20"/>
                <w:szCs w:val="20"/>
                <w:color w:val="auto"/>
                <w:w w:val="98"/>
              </w:rPr>
              <w:t>Currency</w:t>
            </w:r>
          </w:p>
        </w:tc>
        <w:tc>
          <w:tcPr>
            <w:tcW w:w="1380" w:type="dxa"/>
            <w:vAlign w:val="bottom"/>
            <w:vMerge w:val="restart"/>
          </w:tcPr>
          <w:p>
            <w:pPr>
              <w:ind w:left="480"/>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153"/>
        </w:trPr>
        <w:tc>
          <w:tcPr>
            <w:tcW w:w="5400" w:type="dxa"/>
            <w:vAlign w:val="bottom"/>
          </w:tcPr>
          <w:p>
            <w:pPr>
              <w:spacing w:after="0"/>
              <w:rPr>
                <w:sz w:val="13"/>
                <w:szCs w:val="13"/>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20"/>
                <w:szCs w:val="20"/>
                <w:color w:val="auto"/>
                <w:w w:val="96"/>
              </w:rPr>
              <w:t>Price</w:t>
            </w:r>
          </w:p>
        </w:tc>
        <w:tc>
          <w:tcPr>
            <w:tcW w:w="1480" w:type="dxa"/>
            <w:vAlign w:val="bottom"/>
            <w:gridSpan w:val="2"/>
            <w:vMerge w:val="continue"/>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540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Americas</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7"/>
              </w:rPr>
              <w:t>(15)%</w:t>
            </w:r>
          </w:p>
        </w:tc>
        <w:tc>
          <w:tcPr>
            <w:tcW w:w="10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rPr>
              <w:t>0%</w:t>
            </w:r>
          </w:p>
        </w:tc>
        <w:tc>
          <w:tcPr>
            <w:tcW w:w="12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6"/>
              </w:rPr>
              <w:t>0%</w:t>
            </w:r>
          </w:p>
        </w:tc>
        <w:tc>
          <w:tcPr>
            <w:tcW w:w="10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57"/>
        </w:trPr>
        <w:tc>
          <w:tcPr>
            <w:tcW w:w="5400" w:type="dxa"/>
            <w:vAlign w:val="bottom"/>
          </w:tcPr>
          <w:p>
            <w:pPr>
              <w:ind w:left="20"/>
              <w:spacing w:after="0"/>
              <w:rPr>
                <w:sz w:val="20"/>
                <w:szCs w:val="20"/>
                <w:color w:val="auto"/>
              </w:rPr>
            </w:pPr>
            <w:r>
              <w:rPr>
                <w:rFonts w:ascii="Arial" w:cs="Arial" w:eastAsia="Arial" w:hAnsi="Arial"/>
                <w:sz w:val="20"/>
                <w:szCs w:val="20"/>
                <w:color w:val="auto"/>
              </w:rPr>
              <w:t>EMEA</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(6)%</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rPr>
              <w:t>0%</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96"/>
              </w:rPr>
              <w:t>2%</w:t>
            </w:r>
          </w:p>
        </w:tc>
        <w:tc>
          <w:tcPr>
            <w:tcW w:w="1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20"/>
                <w:szCs w:val="20"/>
                <w:color w:val="auto"/>
                <w:w w:val="99"/>
              </w:rPr>
              <w:t>(4)%</w:t>
            </w:r>
          </w:p>
        </w:tc>
        <w:tc>
          <w:tcPr>
            <w:tcW w:w="0" w:type="dxa"/>
            <w:vAlign w:val="bottom"/>
          </w:tcPr>
          <w:p>
            <w:pPr>
              <w:spacing w:after="0"/>
              <w:rPr>
                <w:sz w:val="1"/>
                <w:szCs w:val="1"/>
                <w:color w:val="auto"/>
              </w:rPr>
            </w:pPr>
          </w:p>
        </w:tc>
      </w:tr>
      <w:tr>
        <w:trPr>
          <w:trHeight w:val="256"/>
        </w:trPr>
        <w:tc>
          <w:tcPr>
            <w:tcW w:w="5400" w:type="dxa"/>
            <w:vAlign w:val="bottom"/>
            <w:shd w:val="clear" w:color="auto" w:fill="CCEEFF"/>
          </w:tcPr>
          <w:p>
            <w:pPr>
              <w:ind w:left="20"/>
              <w:spacing w:after="0"/>
              <w:rPr>
                <w:sz w:val="20"/>
                <w:szCs w:val="20"/>
                <w:color w:val="auto"/>
              </w:rPr>
            </w:pPr>
            <w:r>
              <w:rPr>
                <w:rFonts w:ascii="Arial" w:cs="Arial" w:eastAsia="Arial" w:hAnsi="Arial"/>
                <w:sz w:val="20"/>
                <w:szCs w:val="20"/>
                <w:color w:val="auto"/>
              </w:rPr>
              <w:t>Asia Pacific</w:t>
            </w:r>
          </w:p>
        </w:tc>
        <w:tc>
          <w:tcPr>
            <w:tcW w:w="13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9"/>
              </w:rPr>
              <w:t>28%</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0%</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6"/>
              </w:rPr>
              <w:t>0%</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4"/>
              </w:rPr>
              <w:t>28%</w:t>
            </w:r>
          </w:p>
        </w:tc>
        <w:tc>
          <w:tcPr>
            <w:tcW w:w="0" w:type="dxa"/>
            <w:vAlign w:val="bottom"/>
          </w:tcPr>
          <w:p>
            <w:pPr>
              <w:spacing w:after="0"/>
              <w:rPr>
                <w:sz w:val="1"/>
                <w:szCs w:val="1"/>
                <w:color w:val="auto"/>
              </w:rPr>
            </w:pPr>
          </w:p>
        </w:tc>
      </w:tr>
      <w:tr>
        <w:trPr>
          <w:trHeight w:val="261"/>
        </w:trPr>
        <w:tc>
          <w:tcPr>
            <w:tcW w:w="5400" w:type="dxa"/>
            <w:vAlign w:val="bottom"/>
          </w:tcPr>
          <w:p>
            <w:pPr>
              <w:ind w:left="20"/>
              <w:spacing w:after="0"/>
              <w:rPr>
                <w:sz w:val="20"/>
                <w:szCs w:val="20"/>
                <w:color w:val="auto"/>
              </w:rPr>
            </w:pPr>
            <w:r>
              <w:rPr>
                <w:rFonts w:ascii="Arial" w:cs="Arial" w:eastAsia="Arial" w:hAnsi="Arial"/>
                <w:sz w:val="20"/>
                <w:szCs w:val="20"/>
                <w:color w:val="auto"/>
              </w:rPr>
              <w:t>Consolidated</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(5)%</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rPr>
              <w:t>0%</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96"/>
              </w:rPr>
              <w:t>1%</w:t>
            </w:r>
          </w:p>
        </w:tc>
        <w:tc>
          <w:tcPr>
            <w:tcW w:w="1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20"/>
                <w:szCs w:val="20"/>
                <w:color w:val="auto"/>
                <w:w w:val="99"/>
              </w:rPr>
              <w:t>(4)%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jc w:val="both"/>
        <w:ind w:right="380"/>
        <w:spacing w:after="0" w:line="262" w:lineRule="auto"/>
        <w:rPr>
          <w:sz w:val="20"/>
          <w:szCs w:val="20"/>
          <w:color w:val="auto"/>
        </w:rPr>
      </w:pPr>
      <w:r>
        <w:rPr>
          <w:rFonts w:ascii="Arial" w:cs="Arial" w:eastAsia="Arial" w:hAnsi="Arial"/>
          <w:sz w:val="20"/>
          <w:szCs w:val="20"/>
          <w:color w:val="auto"/>
        </w:rPr>
        <w:t>Net sales for the first quarter in the Expansion Markets segment decreased 4 percent, primarily due to lower semiconductor application sales in the Americas. The decline in sales volume was offset by lower expenses and an improved gross margin rate, resulting in an operating margin rate that was comparable to the same period last year.</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w:t>
      </w:r>
    </w:p>
    <w:p>
      <w:pPr>
        <w:spacing w:after="0" w:line="110" w:lineRule="exact"/>
        <w:rPr>
          <w:sz w:val="20"/>
          <w:szCs w:val="20"/>
          <w:color w:val="auto"/>
        </w:rPr>
      </w:pPr>
    </w:p>
    <w:p>
      <w:pPr>
        <w:ind w:right="20"/>
        <w:spacing w:after="0"/>
        <w:rPr>
          <w:sz w:val="20"/>
          <w:szCs w:val="20"/>
          <w:color w:val="auto"/>
        </w:rPr>
      </w:pPr>
      <w:r>
        <w:rPr>
          <w:rFonts w:ascii="Arial" w:cs="Arial" w:eastAsia="Arial" w:hAnsi="Arial"/>
          <w:sz w:val="20"/>
          <w:szCs w:val="20"/>
          <w:color w:val="auto"/>
        </w:rPr>
        <w:t>"We are maintaining our 2026 revenue guidance of low single-digit organic growth on a constant-currency basis and mid-single-digit growth including the expected sales from acquisitions," said Sheahan. "Housing related markets remain challenged, especially in the Americas, but we are seeing pockets of growth across a range of industrial applications. While organic sales declined in the quarter due to timing of powder equipment</w:t>
      </w:r>
    </w:p>
    <w:p>
      <w:pPr>
        <w:sectPr>
          <w:pgSz w:w="11900" w:h="16838" w:orient="portrait"/>
          <w:cols w:equalWidth="0" w:num="1">
            <w:col w:w="11180"/>
          </w:cols>
          <w:pgMar w:left="320" w:top="359" w:right="399" w:bottom="1440" w:gutter="0" w:footer="0" w:header="0"/>
        </w:sectPr>
      </w:pPr>
    </w:p>
    <w:bookmarkStart w:id="31" w:name="page32"/>
    <w:bookmarkEnd w:id="31"/>
    <w:p>
      <w:pPr>
        <w:spacing w:after="0"/>
        <w:rPr>
          <w:sz w:val="20"/>
          <w:szCs w:val="20"/>
          <w:color w:val="auto"/>
        </w:rPr>
      </w:pPr>
      <w:r>
        <w:rPr>
          <w:rFonts w:ascii="Arial" w:cs="Arial" w:eastAsia="Arial" w:hAnsi="Arial"/>
          <w:sz w:val="20"/>
          <w:szCs w:val="20"/>
          <w:b w:val="1"/>
          <w:bCs w:val="1"/>
          <w:color w:val="auto"/>
        </w:rPr>
        <w:t>Page 4 GRACO</w:t>
      </w:r>
    </w:p>
    <w:p>
      <w:pPr>
        <w:spacing w:after="0" w:line="366" w:lineRule="exact"/>
        <w:rPr>
          <w:sz w:val="20"/>
          <w:szCs w:val="20"/>
          <w:color w:val="auto"/>
        </w:rPr>
      </w:pPr>
    </w:p>
    <w:p>
      <w:pPr>
        <w:spacing w:after="0" w:line="252" w:lineRule="exact"/>
        <w:rPr>
          <w:sz w:val="20"/>
          <w:szCs w:val="20"/>
          <w:color w:val="auto"/>
        </w:rPr>
      </w:pPr>
      <w:r>
        <w:rPr>
          <w:rFonts w:ascii="Arial" w:cs="Arial" w:eastAsia="Arial" w:hAnsi="Arial"/>
          <w:sz w:val="20"/>
          <w:szCs w:val="20"/>
          <w:color w:val="auto"/>
        </w:rPr>
        <w:t>project activity, organic order backlog increased 13% from the end of 2025, driven by strong order cadence as we exited the quarter. This momentum reinforces our confidence in maintaining our full</w:t>
      </w:r>
      <w:r>
        <w:rPr>
          <w:rFonts w:ascii="MS PGothic" w:cs="MS PGothic" w:eastAsia="MS PGothic" w:hAnsi="MS PGothic"/>
          <w:sz w:val="20"/>
          <w:szCs w:val="20"/>
          <w:color w:val="auto"/>
        </w:rPr>
        <w:t>‑</w:t>
      </w:r>
      <w:r>
        <w:rPr>
          <w:rFonts w:ascii="Arial" w:cs="Arial" w:eastAsia="Arial" w:hAnsi="Arial"/>
          <w:sz w:val="20"/>
          <w:szCs w:val="20"/>
          <w:color w:val="auto"/>
        </w:rPr>
        <w:t>year outlook."</w:t>
      </w:r>
    </w:p>
    <w:p>
      <w:pPr>
        <w:sectPr>
          <w:pgSz w:w="11900" w:h="16838" w:orient="portrait"/>
          <w:cols w:equalWidth="0" w:num="1">
            <w:col w:w="10820"/>
          </w:cols>
          <w:pgMar w:left="320" w:top="359" w:right="759" w:bottom="1440" w:gutter="0" w:footer="0" w:header="0"/>
        </w:sectPr>
      </w:pPr>
    </w:p>
    <w:bookmarkStart w:id="32" w:name="page33"/>
    <w:bookmarkEnd w:id="32"/>
    <w:p>
      <w:pPr>
        <w:spacing w:after="0"/>
        <w:rPr>
          <w:sz w:val="20"/>
          <w:szCs w:val="20"/>
          <w:color w:val="auto"/>
        </w:rPr>
      </w:pPr>
      <w:r>
        <w:rPr>
          <w:rFonts w:ascii="Arial" w:cs="Arial" w:eastAsia="Arial" w:hAnsi="Arial"/>
          <w:sz w:val="20"/>
          <w:szCs w:val="20"/>
          <w:b w:val="1"/>
          <w:bCs w:val="1"/>
          <w:color w:val="auto"/>
        </w:rPr>
        <w:t>Page 5 GRACO</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Results Adjusted for Comparability</w:t>
      </w:r>
    </w:p>
    <w:p>
      <w:pPr>
        <w:spacing w:after="0" w:line="110" w:lineRule="exact"/>
        <w:rPr>
          <w:sz w:val="20"/>
          <w:szCs w:val="20"/>
          <w:color w:val="auto"/>
        </w:rPr>
      </w:pPr>
    </w:p>
    <w:p>
      <w:pPr>
        <w:ind w:right="460"/>
        <w:spacing w:after="0" w:line="276" w:lineRule="auto"/>
        <w:rPr>
          <w:sz w:val="20"/>
          <w:szCs w:val="20"/>
          <w:color w:val="auto"/>
        </w:rPr>
      </w:pPr>
      <w:r>
        <w:rPr>
          <w:rFonts w:ascii="Arial" w:cs="Arial" w:eastAsia="Arial" w:hAnsi="Arial"/>
          <w:sz w:val="19"/>
          <w:szCs w:val="19"/>
          <w:color w:val="auto"/>
        </w:rPr>
        <w:t>Excluding the impact of excess tax benefits from stock option exercises presents a more consistent basis for comparison of financial results. A calculation of the non-GAAP adjusted measurements of earnings before income taxes, income taxes, effective income tax rate, net earnings and diluted earnings per share follows (in millions except per share amounts):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9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900" w:type="dxa"/>
            <w:vAlign w:val="bottom"/>
            <w:tcBorders>
              <w:bottom w:val="single" w:sz="8" w:color="auto"/>
            </w:tcBorders>
            <w:gridSpan w:val="4"/>
          </w:tcPr>
          <w:p>
            <w:pPr>
              <w:jc w:val="right"/>
              <w:ind w:right="581"/>
              <w:spacing w:after="0"/>
              <w:rPr>
                <w:sz w:val="20"/>
                <w:szCs w:val="20"/>
                <w:color w:val="auto"/>
              </w:rPr>
            </w:pPr>
            <w:r>
              <w:rPr>
                <w:rFonts w:ascii="Arial" w:cs="Arial" w:eastAsia="Arial" w:hAnsi="Arial"/>
                <w:sz w:val="20"/>
                <w:szCs w:val="20"/>
                <w:color w:val="auto"/>
              </w:rPr>
              <w:t>Three Months Ended</w:t>
            </w:r>
          </w:p>
        </w:tc>
      </w:tr>
      <w:tr>
        <w:trPr>
          <w:trHeight w:val="190"/>
        </w:trPr>
        <w:tc>
          <w:tcPr>
            <w:tcW w:w="7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ind w:left="140"/>
              <w:spacing w:after="0" w:line="189" w:lineRule="exact"/>
              <w:rPr>
                <w:sz w:val="20"/>
                <w:szCs w:val="20"/>
                <w:color w:val="auto"/>
              </w:rPr>
            </w:pPr>
            <w:r>
              <w:rPr>
                <w:rFonts w:ascii="Arial" w:cs="Arial" w:eastAsia="Arial" w:hAnsi="Arial"/>
                <w:sz w:val="20"/>
                <w:szCs w:val="20"/>
                <w:color w:val="auto"/>
              </w:rPr>
              <w:t>Mar 27,</w:t>
            </w:r>
          </w:p>
        </w:tc>
        <w:tc>
          <w:tcPr>
            <w:tcW w:w="280" w:type="dxa"/>
            <w:vAlign w:val="bottom"/>
          </w:tcPr>
          <w:p>
            <w:pPr>
              <w:spacing w:after="0"/>
              <w:rPr>
                <w:sz w:val="16"/>
                <w:szCs w:val="16"/>
                <w:color w:val="auto"/>
              </w:rPr>
            </w:pPr>
          </w:p>
        </w:tc>
        <w:tc>
          <w:tcPr>
            <w:tcW w:w="1260" w:type="dxa"/>
            <w:vAlign w:val="bottom"/>
          </w:tcPr>
          <w:p>
            <w:pPr>
              <w:jc w:val="right"/>
              <w:ind w:right="341"/>
              <w:spacing w:after="0" w:line="189" w:lineRule="exact"/>
              <w:rPr>
                <w:sz w:val="20"/>
                <w:szCs w:val="20"/>
                <w:color w:val="auto"/>
              </w:rPr>
            </w:pPr>
            <w:r>
              <w:rPr>
                <w:rFonts w:ascii="Arial" w:cs="Arial" w:eastAsia="Arial" w:hAnsi="Arial"/>
                <w:sz w:val="20"/>
                <w:szCs w:val="20"/>
                <w:color w:val="auto"/>
              </w:rPr>
              <w:t>Mar 28,</w:t>
            </w:r>
          </w:p>
        </w:tc>
      </w:tr>
      <w:tr>
        <w:trPr>
          <w:trHeight w:val="251"/>
        </w:trPr>
        <w:tc>
          <w:tcPr>
            <w:tcW w:w="79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2026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2025</w:t>
            </w:r>
          </w:p>
        </w:tc>
      </w:tr>
      <w:tr>
        <w:trPr>
          <w:trHeight w:val="248"/>
        </w:trPr>
        <w:tc>
          <w:tcPr>
            <w:tcW w:w="790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20"/>
                <w:szCs w:val="20"/>
                <w:color w:val="auto"/>
              </w:rPr>
              <w:t>Earnings before income taxes</w:t>
            </w:r>
          </w:p>
        </w:tc>
        <w:tc>
          <w:tcPr>
            <w:tcW w:w="280" w:type="dxa"/>
            <w:vAlign w:val="bottom"/>
            <w:tcBorders>
              <w:bottom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ind w:right="161"/>
              <w:spacing w:after="0" w:line="223" w:lineRule="exact"/>
              <w:rPr>
                <w:sz w:val="20"/>
                <w:szCs w:val="20"/>
                <w:color w:val="auto"/>
              </w:rPr>
            </w:pPr>
            <w:r>
              <w:rPr>
                <w:rFonts w:ascii="Arial" w:cs="Arial" w:eastAsia="Arial" w:hAnsi="Arial"/>
                <w:sz w:val="20"/>
                <w:szCs w:val="20"/>
                <w:color w:val="auto"/>
              </w:rPr>
              <w:t>140.1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ind w:right="161"/>
              <w:spacing w:after="0" w:line="223" w:lineRule="exact"/>
              <w:rPr>
                <w:sz w:val="20"/>
                <w:szCs w:val="20"/>
                <w:color w:val="auto"/>
              </w:rPr>
            </w:pPr>
            <w:r>
              <w:rPr>
                <w:rFonts w:ascii="Arial" w:cs="Arial" w:eastAsia="Arial" w:hAnsi="Arial"/>
                <w:sz w:val="20"/>
                <w:szCs w:val="20"/>
                <w:color w:val="auto"/>
              </w:rPr>
              <w:t>151.5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7"/>
        </w:trPr>
        <w:tc>
          <w:tcPr>
            <w:tcW w:w="790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taxes, as reported</w:t>
            </w: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6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21.6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6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27.4</w:t>
            </w:r>
          </w:p>
        </w:tc>
      </w:tr>
      <w:tr>
        <w:trPr>
          <w:trHeight w:val="257"/>
        </w:trPr>
        <w:tc>
          <w:tcPr>
            <w:tcW w:w="790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Excess tax benefit from option exercises</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6.7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3.6</w:t>
            </w:r>
          </w:p>
        </w:tc>
      </w:tr>
      <w:tr>
        <w:trPr>
          <w:trHeight w:val="275"/>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Income taxes, adjusted</w:t>
            </w: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rPr>
              <w:t>28.3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rPr>
              <w:t>31.0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7"/>
        </w:trPr>
        <w:tc>
          <w:tcPr>
            <w:tcW w:w="7900" w:type="dxa"/>
            <w:vAlign w:val="bottom"/>
            <w:shd w:val="clear" w:color="auto" w:fill="CCEEFF"/>
          </w:tcPr>
          <w:p>
            <w:pPr>
              <w:ind w:left="20"/>
              <w:spacing w:after="0"/>
              <w:rPr>
                <w:sz w:val="20"/>
                <w:szCs w:val="20"/>
                <w:color w:val="auto"/>
              </w:rPr>
            </w:pPr>
            <w:r>
              <w:rPr>
                <w:rFonts w:ascii="Arial" w:cs="Arial" w:eastAsia="Arial" w:hAnsi="Arial"/>
                <w:sz w:val="20"/>
                <w:szCs w:val="20"/>
                <w:color w:val="auto"/>
              </w:rPr>
              <w:t>Effective income tax rate</w:t>
            </w: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7"/>
        </w:trPr>
        <w:tc>
          <w:tcPr>
            <w:tcW w:w="7900" w:type="dxa"/>
            <w:vAlign w:val="bottom"/>
          </w:tcPr>
          <w:p>
            <w:pPr>
              <w:ind w:left="180"/>
              <w:spacing w:after="0"/>
              <w:rPr>
                <w:sz w:val="20"/>
                <w:szCs w:val="20"/>
                <w:color w:val="auto"/>
              </w:rPr>
            </w:pPr>
            <w:r>
              <w:rPr>
                <w:rFonts w:ascii="Arial" w:cs="Arial" w:eastAsia="Arial" w:hAnsi="Arial"/>
                <w:sz w:val="20"/>
                <w:szCs w:val="20"/>
                <w:color w:val="auto"/>
              </w:rPr>
              <w:t>As reported</w:t>
            </w:r>
          </w:p>
        </w:tc>
        <w:tc>
          <w:tcPr>
            <w:tcW w:w="2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15.4 %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18.1 %</w:t>
            </w:r>
          </w:p>
        </w:tc>
      </w:tr>
      <w:tr>
        <w:trPr>
          <w:trHeight w:val="256"/>
        </w:trPr>
        <w:tc>
          <w:tcPr>
            <w:tcW w:w="7900" w:type="dxa"/>
            <w:vAlign w:val="bottom"/>
            <w:shd w:val="clear" w:color="auto" w:fill="CCEEFF"/>
          </w:tcPr>
          <w:p>
            <w:pPr>
              <w:ind w:left="180"/>
              <w:spacing w:after="0"/>
              <w:rPr>
                <w:sz w:val="20"/>
                <w:szCs w:val="20"/>
                <w:color w:val="auto"/>
              </w:rPr>
            </w:pPr>
            <w:r>
              <w:rPr>
                <w:rFonts w:ascii="Arial" w:cs="Arial" w:eastAsia="Arial" w:hAnsi="Arial"/>
                <w:sz w:val="20"/>
                <w:szCs w:val="20"/>
                <w:color w:val="auto"/>
              </w:rPr>
              <w:t>Adjusted</w:t>
            </w: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20.2 %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20.5 %</w:t>
            </w:r>
          </w:p>
        </w:tc>
      </w:tr>
      <w:tr>
        <w:trPr>
          <w:trHeight w:val="270"/>
        </w:trPr>
        <w:tc>
          <w:tcPr>
            <w:tcW w:w="7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7"/>
        </w:trPr>
        <w:tc>
          <w:tcPr>
            <w:tcW w:w="790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Earnings, as reported</w:t>
            </w: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6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118.5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6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124.1</w:t>
            </w:r>
          </w:p>
        </w:tc>
      </w:tr>
      <w:tr>
        <w:trPr>
          <w:trHeight w:val="257"/>
        </w:trPr>
        <w:tc>
          <w:tcPr>
            <w:tcW w:w="790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Excess tax benefit from option exercises</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(6.7)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(3.6)</w:t>
            </w:r>
          </w:p>
        </w:tc>
      </w:tr>
      <w:tr>
        <w:trPr>
          <w:trHeight w:val="275"/>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Earnings, adjusted</w:t>
            </w: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rPr>
              <w:t>111.8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rPr>
              <w:t>120.5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7"/>
        </w:trPr>
        <w:tc>
          <w:tcPr>
            <w:tcW w:w="7900" w:type="dxa"/>
            <w:vAlign w:val="bottom"/>
            <w:shd w:val="clear" w:color="auto" w:fill="CCEEFF"/>
          </w:tcPr>
          <w:p>
            <w:pPr>
              <w:ind w:left="20"/>
              <w:spacing w:after="0"/>
              <w:rPr>
                <w:sz w:val="20"/>
                <w:szCs w:val="20"/>
                <w:color w:val="auto"/>
              </w:rPr>
            </w:pPr>
            <w:r>
              <w:rPr>
                <w:rFonts w:ascii="Arial" w:cs="Arial" w:eastAsia="Arial" w:hAnsi="Arial"/>
                <w:sz w:val="20"/>
                <w:szCs w:val="20"/>
                <w:color w:val="auto"/>
              </w:rPr>
              <w:t>Weighted Average Diluted Shares</w:t>
            </w: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168.3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171.6</w:t>
            </w:r>
          </w:p>
        </w:tc>
      </w:tr>
      <w:tr>
        <w:trPr>
          <w:trHeight w:val="257"/>
        </w:trPr>
        <w:tc>
          <w:tcPr>
            <w:tcW w:w="7900" w:type="dxa"/>
            <w:vAlign w:val="bottom"/>
          </w:tcPr>
          <w:p>
            <w:pPr>
              <w:ind w:left="20"/>
              <w:spacing w:after="0"/>
              <w:rPr>
                <w:sz w:val="20"/>
                <w:szCs w:val="20"/>
                <w:color w:val="auto"/>
              </w:rPr>
            </w:pPr>
            <w:r>
              <w:rPr>
                <w:rFonts w:ascii="Arial" w:cs="Arial" w:eastAsia="Arial" w:hAnsi="Arial"/>
                <w:sz w:val="20"/>
                <w:szCs w:val="20"/>
                <w:color w:val="auto"/>
              </w:rPr>
              <w:t>Diluted Earnings per Share</w:t>
            </w: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6"/>
        </w:trPr>
        <w:tc>
          <w:tcPr>
            <w:tcW w:w="7900" w:type="dxa"/>
            <w:vAlign w:val="bottom"/>
            <w:shd w:val="clear" w:color="auto" w:fill="CCEEFF"/>
          </w:tcPr>
          <w:p>
            <w:pPr>
              <w:ind w:left="300"/>
              <w:spacing w:after="0"/>
              <w:rPr>
                <w:sz w:val="20"/>
                <w:szCs w:val="20"/>
                <w:color w:val="auto"/>
              </w:rPr>
            </w:pPr>
            <w:r>
              <w:rPr>
                <w:rFonts w:ascii="Arial" w:cs="Arial" w:eastAsia="Arial" w:hAnsi="Arial"/>
                <w:sz w:val="20"/>
                <w:szCs w:val="20"/>
                <w:color w:val="auto"/>
              </w:rPr>
              <w:t>As reported</w:t>
            </w: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6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0.70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6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0.72</w:t>
            </w:r>
          </w:p>
        </w:tc>
      </w:tr>
      <w:tr>
        <w:trPr>
          <w:trHeight w:val="261"/>
        </w:trPr>
        <w:tc>
          <w:tcPr>
            <w:tcW w:w="7900" w:type="dxa"/>
            <w:vAlign w:val="bottom"/>
          </w:tcPr>
          <w:p>
            <w:pPr>
              <w:ind w:left="300"/>
              <w:spacing w:after="0"/>
              <w:rPr>
                <w:sz w:val="20"/>
                <w:szCs w:val="20"/>
                <w:color w:val="auto"/>
              </w:rPr>
            </w:pPr>
            <w:r>
              <w:rPr>
                <w:rFonts w:ascii="Arial" w:cs="Arial" w:eastAsia="Arial" w:hAnsi="Arial"/>
                <w:sz w:val="20"/>
                <w:szCs w:val="20"/>
                <w:color w:val="auto"/>
              </w:rPr>
              <w:t>Adjusted</w:t>
            </w: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ind w:right="161"/>
              <w:spacing w:after="0"/>
              <w:rPr>
                <w:sz w:val="20"/>
                <w:szCs w:val="20"/>
                <w:color w:val="auto"/>
              </w:rPr>
            </w:pPr>
            <w:r>
              <w:rPr>
                <w:rFonts w:ascii="Arial" w:cs="Arial" w:eastAsia="Arial" w:hAnsi="Arial"/>
                <w:sz w:val="20"/>
                <w:szCs w:val="20"/>
                <w:color w:val="auto"/>
              </w:rPr>
              <w:t>0.66</w:t>
            </w:r>
          </w:p>
        </w:tc>
        <w:tc>
          <w:tcPr>
            <w:tcW w:w="100" w:type="dxa"/>
            <w:vAlign w:val="bottom"/>
          </w:tcPr>
          <w:p>
            <w:pPr>
              <w:spacing w:after="0"/>
              <w:rPr>
                <w:sz w:val="22"/>
                <w:szCs w:val="22"/>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ind w:right="161"/>
              <w:spacing w:after="0"/>
              <w:rPr>
                <w:sz w:val="20"/>
                <w:szCs w:val="20"/>
                <w:color w:val="auto"/>
              </w:rPr>
            </w:pPr>
            <w:r>
              <w:rPr>
                <w:rFonts w:ascii="Arial" w:cs="Arial" w:eastAsia="Arial" w:hAnsi="Arial"/>
                <w:sz w:val="20"/>
                <w:szCs w:val="20"/>
                <w:color w:val="auto"/>
              </w:rPr>
              <w:t>0.70</w:t>
            </w:r>
          </w:p>
        </w:tc>
      </w:tr>
    </w:tbl>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 Regarding Forward-Looking Statements</w:t>
      </w:r>
    </w:p>
    <w:p>
      <w:pPr>
        <w:spacing w:after="0" w:line="245" w:lineRule="exact"/>
        <w:rPr>
          <w:sz w:val="20"/>
          <w:szCs w:val="20"/>
          <w:color w:val="auto"/>
        </w:rPr>
      </w:pPr>
    </w:p>
    <w:p>
      <w:pPr>
        <w:spacing w:after="0" w:line="252" w:lineRule="auto"/>
        <w:rPr>
          <w:sz w:val="20"/>
          <w:szCs w:val="20"/>
          <w:color w:val="auto"/>
        </w:rPr>
      </w:pPr>
      <w:r>
        <w:rPr>
          <w:rFonts w:ascii="Arial" w:cs="Arial" w:eastAsia="Arial" w:hAnsi="Arial"/>
          <w:sz w:val="20"/>
          <w:szCs w:val="20"/>
          <w:color w:val="auto"/>
        </w:rPr>
        <w:t>The Company desires to take advantage of the “safe harbor” provisions regarding forward-looking statements of the Private Securities Litigation Reform Act of 1995 and is filing this Cautionary Statement in order to do so. From time to time various forms filed by our Company with the Securities and Exchange Commission, including our Form 10-K, Form 10-Qs and Form 8-Ks, and other disclosures, including our 2025 Overview report, press releases, earnings releases, analyst briefings, conference calls and other written documents or oral statements released by our Company, may contain forward-looking statements. Forward-looking statements generally use words such as “expect,” “foresee,” “anticipate,” “believe,” “project,” “should,” “estimate,” “will,” and similar expressions, and reflect our Company’s expectations concerning the future. All forecasts and projections are forward-looking statements. Forward-looking statements are based upon currently available information, but various risks and uncertainties may cause our Company’s actual results to differ materially from those expressed in these statements. The Company undertakes no obligation to update these statements in light of new information or future events.</w:t>
      </w:r>
    </w:p>
    <w:p>
      <w:pPr>
        <w:spacing w:after="0" w:line="204"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Future results could differ materially from those expressed, due to the impact of changes in various factors. These risk factors include, but are not limited to, risks relating to the demand for our products and the level of commercial, industrial and construction activity worldwide; changes in currency translation rates; international and domestic instability; interest rate fluctuations and changes in credit markets; global sourcing of materials; inflationary cost pressures and our ability to raise prices without decreasing demand for our products; interruptions of or intrusions into our information systems; intellectual property rights; the use of generative artificial intelligence and other emerging technologies; conducting business internationally; catastrophic events; our ability to attract, develop and retain qualified personnel; public health crises; our growth strategies and</w:t>
      </w:r>
    </w:p>
    <w:p>
      <w:pPr>
        <w:sectPr>
          <w:pgSz w:w="11900" w:h="16838" w:orient="portrait"/>
          <w:cols w:equalWidth="0" w:num="1">
            <w:col w:w="11240"/>
          </w:cols>
          <w:pgMar w:left="320" w:top="359" w:right="339" w:bottom="1440" w:gutter="0" w:footer="0" w:header="0"/>
        </w:sectPr>
      </w:pPr>
    </w:p>
    <w:bookmarkStart w:id="33" w:name="page34"/>
    <w:bookmarkEnd w:id="33"/>
    <w:p>
      <w:pPr>
        <w:spacing w:after="0"/>
        <w:rPr>
          <w:sz w:val="20"/>
          <w:szCs w:val="20"/>
          <w:color w:val="auto"/>
        </w:rPr>
      </w:pPr>
      <w:r>
        <w:rPr>
          <w:rFonts w:ascii="Arial" w:cs="Arial" w:eastAsia="Arial" w:hAnsi="Arial"/>
          <w:sz w:val="20"/>
          <w:szCs w:val="20"/>
          <w:b w:val="1"/>
          <w:bCs w:val="1"/>
          <w:color w:val="auto"/>
        </w:rPr>
        <w:t>Page 6 GRACO</w:t>
      </w:r>
    </w:p>
    <w:p>
      <w:pPr>
        <w:spacing w:after="0" w:line="258"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 xml:space="preserve">acquisitions; potential goodwill impairment; our ability to compete effectively; our dependence on a few large customers; our dependence on cyclical industries; changes in laws and regulations; climate-related laws, regulations and accords; environmental, social and governance-related expectations and requirements; compliance with anti-corruption and trade laws; changes in tax or tariff rates or the adoption of new tax or tariff legislation; and costs associated with legal proceedings. Please refer to Item 1A of our Annual Report on Form 10-K for fiscal year 2025 (and the most recent Form 10-Q) for a more comprehensive discussion of these and other risk factors. These reports are available on the Company’s website at </w:t>
      </w:r>
      <w:r>
        <w:rPr>
          <w:rFonts w:ascii="Arial" w:cs="Arial" w:eastAsia="Arial" w:hAnsi="Arial"/>
          <w:sz w:val="20"/>
          <w:szCs w:val="20"/>
          <w:u w:val="single" w:color="auto"/>
          <w:color w:val="0424FF"/>
        </w:rPr>
        <w:t>www.graco.com</w:t>
      </w:r>
      <w:r>
        <w:rPr>
          <w:rFonts w:ascii="Arial" w:cs="Arial" w:eastAsia="Arial" w:hAnsi="Arial"/>
          <w:sz w:val="20"/>
          <w:szCs w:val="20"/>
          <w:color w:val="0424FF"/>
        </w:rPr>
        <w:t xml:space="preserve"> </w:t>
      </w:r>
      <w:r>
        <w:rPr>
          <w:rFonts w:ascii="Arial" w:cs="Arial" w:eastAsia="Arial" w:hAnsi="Arial"/>
          <w:sz w:val="20"/>
          <w:szCs w:val="20"/>
          <w:color w:val="000000"/>
        </w:rPr>
        <w:t>and the Securities and Exchange Commission’s website at</w:t>
      </w:r>
      <w:r>
        <w:rPr>
          <w:rFonts w:ascii="Arial" w:cs="Arial" w:eastAsia="Arial" w:hAnsi="Arial"/>
          <w:sz w:val="20"/>
          <w:szCs w:val="20"/>
          <w:color w:val="0424FF"/>
        </w:rPr>
        <w:t xml:space="preserve"> </w:t>
      </w:r>
      <w:r>
        <w:rPr>
          <w:rFonts w:ascii="Arial" w:cs="Arial" w:eastAsia="Arial" w:hAnsi="Arial"/>
          <w:sz w:val="20"/>
          <w:szCs w:val="20"/>
          <w:u w:val="single" w:color="auto"/>
          <w:color w:val="0424FF"/>
        </w:rPr>
        <w:t>www.sec.gov</w:t>
      </w:r>
      <w:r>
        <w:rPr>
          <w:rFonts w:ascii="Arial" w:cs="Arial" w:eastAsia="Arial" w:hAnsi="Arial"/>
          <w:sz w:val="20"/>
          <w:szCs w:val="20"/>
          <w:color w:val="000000"/>
        </w:rPr>
        <w:t>. Shareholders, potential investors and</w:t>
      </w:r>
      <w:r>
        <w:rPr>
          <w:rFonts w:ascii="Arial" w:cs="Arial" w:eastAsia="Arial" w:hAnsi="Arial"/>
          <w:sz w:val="20"/>
          <w:szCs w:val="20"/>
          <w:color w:val="0424FF"/>
        </w:rPr>
        <w:t xml:space="preserve"> </w:t>
      </w:r>
      <w:r>
        <w:rPr>
          <w:rFonts w:ascii="Arial" w:cs="Arial" w:eastAsia="Arial" w:hAnsi="Arial"/>
          <w:sz w:val="20"/>
          <w:szCs w:val="20"/>
          <w:color w:val="000000"/>
        </w:rPr>
        <w:t>other readers are urged to consider these factors in evaluating forward-looking statements and are cautioned not to place undue reliance on such forward-looking statements.</w:t>
      </w:r>
    </w:p>
    <w:p>
      <w:pPr>
        <w:spacing w:after="0" w:line="220" w:lineRule="exact"/>
        <w:rPr>
          <w:sz w:val="20"/>
          <w:szCs w:val="20"/>
          <w:color w:val="auto"/>
        </w:rPr>
      </w:pPr>
    </w:p>
    <w:p>
      <w:pPr>
        <w:ind w:right="200"/>
        <w:spacing w:after="0" w:line="282" w:lineRule="auto"/>
        <w:rPr>
          <w:sz w:val="20"/>
          <w:szCs w:val="20"/>
          <w:color w:val="auto"/>
        </w:rPr>
      </w:pPr>
      <w:r>
        <w:rPr>
          <w:rFonts w:ascii="Arial" w:cs="Arial" w:eastAsia="Arial" w:hAnsi="Arial"/>
          <w:sz w:val="19"/>
          <w:szCs w:val="19"/>
          <w:color w:val="auto"/>
        </w:rPr>
        <w:t>Investors should realize that factors other than those identified above and in Item 1A of our Annual Report on Form 10-K for fiscal year 2025 might prove important to the Company’s future results. It is not possible for management to identify each and every factor that may have an impact on the Company’s operations in the future as new factors can develop from time to time.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245" w:lineRule="exact"/>
        <w:rPr>
          <w:sz w:val="20"/>
          <w:szCs w:val="20"/>
          <w:color w:val="auto"/>
        </w:rPr>
      </w:pPr>
    </w:p>
    <w:p>
      <w:pPr>
        <w:ind w:right="820"/>
        <w:spacing w:after="0" w:line="286" w:lineRule="auto"/>
        <w:rPr>
          <w:sz w:val="20"/>
          <w:szCs w:val="20"/>
          <w:color w:val="auto"/>
        </w:rPr>
      </w:pPr>
      <w:r>
        <w:rPr>
          <w:rFonts w:ascii="Arial" w:cs="Arial" w:eastAsia="Arial" w:hAnsi="Arial"/>
          <w:sz w:val="20"/>
          <w:szCs w:val="20"/>
          <w:color w:val="auto"/>
        </w:rPr>
        <w:t>Graco management will hold a conference call, including slides via webcast, with analysts and institutional investors on Thursday, April 23, 2026, at 11 a.m. ET, 10 a.m. CT, to discuss Graco’s first quarter results.</w:t>
      </w:r>
    </w:p>
    <w:p>
      <w:pPr>
        <w:spacing w:after="0" w:line="181" w:lineRule="exact"/>
        <w:rPr>
          <w:sz w:val="20"/>
          <w:szCs w:val="20"/>
          <w:color w:val="auto"/>
        </w:rPr>
      </w:pPr>
    </w:p>
    <w:p>
      <w:pPr>
        <w:ind w:right="120"/>
        <w:spacing w:after="0" w:line="262" w:lineRule="auto"/>
        <w:rPr>
          <w:sz w:val="20"/>
          <w:szCs w:val="20"/>
          <w:color w:val="auto"/>
        </w:rPr>
      </w:pPr>
      <w:r>
        <w:rPr>
          <w:rFonts w:ascii="Arial" w:cs="Arial" w:eastAsia="Arial" w:hAnsi="Arial"/>
          <w:sz w:val="20"/>
          <w:szCs w:val="20"/>
          <w:color w:val="auto"/>
        </w:rPr>
        <w:t xml:space="preserve">A real-time listen-only webcast of the conference call will be broadcast by Nasdaq. Individuals can access the call and view the slides on the Company’s website at </w:t>
      </w:r>
      <w:r>
        <w:rPr>
          <w:rFonts w:ascii="Arial" w:cs="Arial" w:eastAsia="Arial" w:hAnsi="Arial"/>
          <w:sz w:val="20"/>
          <w:szCs w:val="20"/>
          <w:u w:val="single" w:color="auto"/>
          <w:color w:val="0424FF"/>
        </w:rPr>
        <w:t>www.graco.com</w:t>
      </w:r>
      <w:r>
        <w:rPr>
          <w:rFonts w:ascii="Arial" w:cs="Arial" w:eastAsia="Arial" w:hAnsi="Arial"/>
          <w:sz w:val="20"/>
          <w:szCs w:val="20"/>
          <w:color w:val="auto"/>
        </w:rPr>
        <w:t>. Listeners should go to the website at least 15 minutes prior to the live conference call to install any necessary audio software.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Graco</w:t>
      </w:r>
    </w:p>
    <w:p>
      <w:pPr>
        <w:spacing w:after="0" w:line="258"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 xml:space="preserve">Graco Inc. supplies technology and expertise for the management of fluids and coatings in both industrial and commercial applications. It designs, manufactures and markets systems and equipment to move, measure, control, dispense and spray fluid and powder materials. A recognized leader in its specialties, Minneapolis-based Graco serves customers around the world in the manufacturing, processing, construction and maintenance industries. For additional information about Graco Inc., please visit us at </w:t>
      </w:r>
      <w:r>
        <w:rPr>
          <w:rFonts w:ascii="Arial" w:cs="Arial" w:eastAsia="Arial" w:hAnsi="Arial"/>
          <w:sz w:val="20"/>
          <w:szCs w:val="20"/>
          <w:u w:val="single" w:color="auto"/>
          <w:color w:val="0000FF"/>
        </w:rPr>
        <w:t>www.graco.com</w:t>
      </w:r>
      <w:r>
        <w:rPr>
          <w:rFonts w:ascii="Arial" w:cs="Arial" w:eastAsia="Arial" w:hAnsi="Arial"/>
          <w:sz w:val="20"/>
          <w:szCs w:val="20"/>
          <w:color w:val="auto"/>
        </w:rPr>
        <w:t>.</w:t>
      </w:r>
    </w:p>
    <w:p>
      <w:pPr>
        <w:sectPr>
          <w:pgSz w:w="11900" w:h="16838" w:orient="portrait"/>
          <w:cols w:equalWidth="0" w:num="1">
            <w:col w:w="11220"/>
          </w:cols>
          <w:pgMar w:left="320" w:top="359" w:right="359" w:bottom="1440" w:gutter="0" w:footer="0" w:header="0"/>
        </w:sectPr>
      </w:pPr>
    </w:p>
    <w:bookmarkStart w:id="34" w:name="page35"/>
    <w:bookmarkEnd w:id="34"/>
    <w:p>
      <w:pPr>
        <w:spacing w:after="0"/>
        <w:rPr>
          <w:sz w:val="20"/>
          <w:szCs w:val="20"/>
          <w:color w:val="auto"/>
        </w:rPr>
      </w:pPr>
      <w:r>
        <w:rPr>
          <w:rFonts w:ascii="Arial" w:cs="Arial" w:eastAsia="Arial" w:hAnsi="Arial"/>
          <w:sz w:val="20"/>
          <w:szCs w:val="20"/>
          <w:b w:val="1"/>
          <w:bCs w:val="1"/>
          <w:color w:val="auto"/>
        </w:rPr>
        <w:t>Page 7 GRACO</w:t>
      </w: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GRACO INC. AND SUBSIDIARIES</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 xml:space="preserve">CONSOLIDATED STATEMENTS OF EARNINGS </w:t>
      </w:r>
      <w:r>
        <w:rPr>
          <w:rFonts w:ascii="Arial" w:cs="Arial" w:eastAsia="Arial" w:hAnsi="Arial"/>
          <w:sz w:val="19"/>
          <w:szCs w:val="19"/>
          <w:b w:val="1"/>
          <w:bCs w:val="1"/>
          <w:color w:val="auto"/>
        </w:rPr>
        <w:t>(Unaudited)</w:t>
      </w:r>
    </w:p>
    <w:p>
      <w:pPr>
        <w:jc w:val="center"/>
        <w:ind w:right="-79"/>
        <w:spacing w:after="0"/>
        <w:rPr>
          <w:sz w:val="20"/>
          <w:szCs w:val="20"/>
          <w:color w:val="auto"/>
        </w:rPr>
      </w:pPr>
      <w:r>
        <w:rPr>
          <w:rFonts w:ascii="Arial" w:cs="Arial" w:eastAsia="Arial" w:hAnsi="Arial"/>
          <w:sz w:val="20"/>
          <w:szCs w:val="20"/>
          <w:color w:val="auto"/>
        </w:rPr>
        <w:t>(In thousands except per share amounts)</w:t>
      </w:r>
    </w:p>
    <w:p>
      <w:pPr>
        <w:spacing w:after="0" w:line="130" w:lineRule="exact"/>
        <w:rPr>
          <w:sz w:val="20"/>
          <w:szCs w:val="20"/>
          <w:color w:val="auto"/>
        </w:rPr>
      </w:pPr>
    </w:p>
    <w:tbl>
      <w:tblPr>
        <w:tblLayout w:type="fixed"/>
        <w:tblInd w:w="100" w:type="dxa"/>
        <w:tblCellMar>
          <w:top w:w="0" w:type="dxa"/>
          <w:left w:w="0" w:type="dxa"/>
          <w:bottom w:w="0" w:type="dxa"/>
          <w:right w:w="0" w:type="dxa"/>
        </w:tblCellMar>
      </w:tblPr>
      <w:tr>
        <w:trPr>
          <w:trHeight w:val="263"/>
        </w:trPr>
        <w:tc>
          <w:tcPr>
            <w:tcW w:w="77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gridSpan w:val="4"/>
          </w:tcPr>
          <w:p>
            <w:pPr>
              <w:jc w:val="right"/>
              <w:ind w:right="641"/>
              <w:spacing w:after="0"/>
              <w:rPr>
                <w:sz w:val="20"/>
                <w:szCs w:val="20"/>
                <w:color w:val="auto"/>
              </w:rPr>
            </w:pPr>
            <w:r>
              <w:rPr>
                <w:rFonts w:ascii="Arial" w:cs="Arial" w:eastAsia="Arial" w:hAnsi="Arial"/>
                <w:sz w:val="20"/>
                <w:szCs w:val="20"/>
                <w:color w:val="auto"/>
              </w:rPr>
              <w:t>Three Months Ended</w:t>
            </w:r>
          </w:p>
        </w:tc>
      </w:tr>
      <w:tr>
        <w:trPr>
          <w:trHeight w:val="184"/>
        </w:trPr>
        <w:tc>
          <w:tcPr>
            <w:tcW w:w="7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2"/>
          </w:tcPr>
          <w:p>
            <w:pPr>
              <w:ind w:left="160"/>
              <w:spacing w:after="0" w:line="184" w:lineRule="exact"/>
              <w:rPr>
                <w:sz w:val="20"/>
                <w:szCs w:val="20"/>
                <w:color w:val="auto"/>
              </w:rPr>
            </w:pPr>
            <w:r>
              <w:rPr>
                <w:rFonts w:ascii="Arial" w:cs="Arial" w:eastAsia="Arial" w:hAnsi="Arial"/>
                <w:sz w:val="20"/>
                <w:szCs w:val="20"/>
                <w:color w:val="auto"/>
              </w:rPr>
              <w:t>Mar 27,</w:t>
            </w:r>
          </w:p>
        </w:tc>
        <w:tc>
          <w:tcPr>
            <w:tcW w:w="300" w:type="dxa"/>
            <w:vAlign w:val="bottom"/>
          </w:tcPr>
          <w:p>
            <w:pPr>
              <w:spacing w:after="0"/>
              <w:rPr>
                <w:sz w:val="16"/>
                <w:szCs w:val="16"/>
                <w:color w:val="auto"/>
              </w:rPr>
            </w:pPr>
          </w:p>
        </w:tc>
        <w:tc>
          <w:tcPr>
            <w:tcW w:w="1300" w:type="dxa"/>
            <w:vAlign w:val="bottom"/>
          </w:tcPr>
          <w:p>
            <w:pPr>
              <w:jc w:val="right"/>
              <w:ind w:right="361"/>
              <w:spacing w:after="0" w:line="184" w:lineRule="exact"/>
              <w:rPr>
                <w:sz w:val="20"/>
                <w:szCs w:val="20"/>
                <w:color w:val="auto"/>
              </w:rPr>
            </w:pPr>
            <w:r>
              <w:rPr>
                <w:rFonts w:ascii="Arial" w:cs="Arial" w:eastAsia="Arial" w:hAnsi="Arial"/>
                <w:sz w:val="20"/>
                <w:szCs w:val="20"/>
                <w:color w:val="auto"/>
              </w:rPr>
              <w:t>Mar 28,</w:t>
            </w:r>
          </w:p>
        </w:tc>
      </w:tr>
      <w:tr>
        <w:trPr>
          <w:trHeight w:val="256"/>
        </w:trPr>
        <w:tc>
          <w:tcPr>
            <w:tcW w:w="77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2026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2025</w:t>
            </w:r>
          </w:p>
        </w:tc>
      </w:tr>
      <w:tr>
        <w:trPr>
          <w:trHeight w:val="250"/>
        </w:trPr>
        <w:tc>
          <w:tcPr>
            <w:tcW w:w="7760" w:type="dxa"/>
            <w:vAlign w:val="bottom"/>
            <w:shd w:val="clear" w:color="auto" w:fill="CCEEFF"/>
          </w:tcPr>
          <w:p>
            <w:pPr>
              <w:ind w:left="180"/>
              <w:spacing w:after="0"/>
              <w:rPr>
                <w:sz w:val="20"/>
                <w:szCs w:val="20"/>
                <w:color w:val="auto"/>
              </w:rPr>
            </w:pPr>
            <w:r>
              <w:rPr>
                <w:rFonts w:ascii="Arial" w:cs="Arial" w:eastAsia="Arial" w:hAnsi="Arial"/>
                <w:sz w:val="20"/>
                <w:szCs w:val="20"/>
                <w:color w:val="auto"/>
              </w:rPr>
              <w:t>Net Sales</w:t>
            </w: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540,144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528,284</w:t>
            </w:r>
          </w:p>
        </w:tc>
      </w:tr>
      <w:tr>
        <w:trPr>
          <w:trHeight w:val="257"/>
        </w:trPr>
        <w:tc>
          <w:tcPr>
            <w:tcW w:w="7760" w:type="dxa"/>
            <w:vAlign w:val="bottom"/>
            <w:tcBorders>
              <w:bottom w:val="single" w:sz="8" w:color="CCEEFF"/>
            </w:tcBorders>
          </w:tcPr>
          <w:p>
            <w:pPr>
              <w:ind w:left="380"/>
              <w:spacing w:after="0"/>
              <w:rPr>
                <w:sz w:val="20"/>
                <w:szCs w:val="20"/>
                <w:color w:val="auto"/>
              </w:rPr>
            </w:pPr>
            <w:r>
              <w:rPr>
                <w:rFonts w:ascii="Arial" w:cs="Arial" w:eastAsia="Arial" w:hAnsi="Arial"/>
                <w:sz w:val="20"/>
                <w:szCs w:val="20"/>
                <w:color w:val="auto"/>
              </w:rPr>
              <w:t>Cost of products sold</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259,503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250,551</w:t>
            </w:r>
          </w:p>
        </w:tc>
      </w:tr>
      <w:tr>
        <w:trPr>
          <w:trHeight w:val="250"/>
        </w:trPr>
        <w:tc>
          <w:tcPr>
            <w:tcW w:w="7760" w:type="dxa"/>
            <w:vAlign w:val="bottom"/>
            <w:shd w:val="clear" w:color="auto" w:fill="CCEEFF"/>
          </w:tcPr>
          <w:p>
            <w:pPr>
              <w:ind w:left="180"/>
              <w:spacing w:after="0"/>
              <w:rPr>
                <w:sz w:val="20"/>
                <w:szCs w:val="20"/>
                <w:color w:val="auto"/>
              </w:rPr>
            </w:pPr>
            <w:r>
              <w:rPr>
                <w:rFonts w:ascii="Arial" w:cs="Arial" w:eastAsia="Arial" w:hAnsi="Arial"/>
                <w:sz w:val="20"/>
                <w:szCs w:val="20"/>
                <w:color w:val="auto"/>
              </w:rPr>
              <w:t>Gross Profit</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280,641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277,733</w:t>
            </w:r>
          </w:p>
        </w:tc>
      </w:tr>
      <w:tr>
        <w:trPr>
          <w:trHeight w:val="257"/>
        </w:trPr>
        <w:tc>
          <w:tcPr>
            <w:tcW w:w="7760" w:type="dxa"/>
            <w:vAlign w:val="bottom"/>
          </w:tcPr>
          <w:p>
            <w:pPr>
              <w:ind w:left="380"/>
              <w:spacing w:after="0"/>
              <w:rPr>
                <w:sz w:val="20"/>
                <w:szCs w:val="20"/>
                <w:color w:val="auto"/>
              </w:rPr>
            </w:pPr>
            <w:r>
              <w:rPr>
                <w:rFonts w:ascii="Arial" w:cs="Arial" w:eastAsia="Arial" w:hAnsi="Arial"/>
                <w:sz w:val="20"/>
                <w:szCs w:val="20"/>
                <w:color w:val="auto"/>
              </w:rPr>
              <w:t>Product development</w:t>
            </w:r>
          </w:p>
        </w:tc>
        <w:tc>
          <w:tcPr>
            <w:tcW w:w="300" w:type="dxa"/>
            <w:vAlign w:val="bottom"/>
          </w:tcPr>
          <w:p>
            <w:pPr>
              <w:spacing w:after="0"/>
              <w:rPr>
                <w:sz w:val="22"/>
                <w:szCs w:val="22"/>
                <w:color w:val="auto"/>
              </w:rPr>
            </w:pP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19,974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19,375</w:t>
            </w:r>
          </w:p>
        </w:tc>
      </w:tr>
      <w:tr>
        <w:trPr>
          <w:trHeight w:val="257"/>
        </w:trPr>
        <w:tc>
          <w:tcPr>
            <w:tcW w:w="7760" w:type="dxa"/>
            <w:vAlign w:val="bottom"/>
            <w:shd w:val="clear" w:color="auto" w:fill="CCEEFF"/>
          </w:tcPr>
          <w:p>
            <w:pPr>
              <w:ind w:left="380"/>
              <w:spacing w:after="0"/>
              <w:rPr>
                <w:sz w:val="20"/>
                <w:szCs w:val="20"/>
                <w:color w:val="auto"/>
              </w:rPr>
            </w:pPr>
            <w:r>
              <w:rPr>
                <w:rFonts w:ascii="Arial" w:cs="Arial" w:eastAsia="Arial" w:hAnsi="Arial"/>
                <w:sz w:val="20"/>
                <w:szCs w:val="20"/>
                <w:color w:val="auto"/>
              </w:rPr>
              <w:t>Selling, marketing and distribution</w:t>
            </w: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70,019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67,211</w:t>
            </w:r>
          </w:p>
        </w:tc>
      </w:tr>
      <w:tr>
        <w:trPr>
          <w:trHeight w:val="256"/>
        </w:trPr>
        <w:tc>
          <w:tcPr>
            <w:tcW w:w="7760" w:type="dxa"/>
            <w:vAlign w:val="bottom"/>
            <w:tcBorders>
              <w:bottom w:val="single" w:sz="8" w:color="CCEEFF"/>
            </w:tcBorders>
          </w:tcPr>
          <w:p>
            <w:pPr>
              <w:ind w:left="380"/>
              <w:spacing w:after="0"/>
              <w:rPr>
                <w:sz w:val="20"/>
                <w:szCs w:val="20"/>
                <w:color w:val="auto"/>
              </w:rPr>
            </w:pPr>
            <w:r>
              <w:rPr>
                <w:rFonts w:ascii="Arial" w:cs="Arial" w:eastAsia="Arial" w:hAnsi="Arial"/>
                <w:sz w:val="20"/>
                <w:szCs w:val="20"/>
                <w:color w:val="auto"/>
              </w:rPr>
              <w:t>General and administrative</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52,873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47,134</w:t>
            </w:r>
          </w:p>
        </w:tc>
      </w:tr>
      <w:tr>
        <w:trPr>
          <w:trHeight w:val="250"/>
        </w:trPr>
        <w:tc>
          <w:tcPr>
            <w:tcW w:w="7760" w:type="dxa"/>
            <w:vAlign w:val="bottom"/>
            <w:shd w:val="clear" w:color="auto" w:fill="CCEEFF"/>
          </w:tcPr>
          <w:p>
            <w:pPr>
              <w:ind w:left="180"/>
              <w:spacing w:after="0"/>
              <w:rPr>
                <w:sz w:val="20"/>
                <w:szCs w:val="20"/>
                <w:color w:val="auto"/>
              </w:rPr>
            </w:pPr>
            <w:r>
              <w:rPr>
                <w:rFonts w:ascii="Arial" w:cs="Arial" w:eastAsia="Arial" w:hAnsi="Arial"/>
                <w:sz w:val="20"/>
                <w:szCs w:val="20"/>
                <w:color w:val="auto"/>
              </w:rPr>
              <w:t>Operating Earnings</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137,775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144,013</w:t>
            </w:r>
          </w:p>
        </w:tc>
      </w:tr>
      <w:tr>
        <w:trPr>
          <w:trHeight w:val="257"/>
        </w:trPr>
        <w:tc>
          <w:tcPr>
            <w:tcW w:w="7760" w:type="dxa"/>
            <w:vAlign w:val="bottom"/>
          </w:tcPr>
          <w:p>
            <w:pPr>
              <w:ind w:left="380"/>
              <w:spacing w:after="0"/>
              <w:rPr>
                <w:sz w:val="20"/>
                <w:szCs w:val="20"/>
                <w:color w:val="auto"/>
              </w:rPr>
            </w:pPr>
            <w:r>
              <w:rPr>
                <w:rFonts w:ascii="Arial" w:cs="Arial" w:eastAsia="Arial" w:hAnsi="Arial"/>
                <w:sz w:val="20"/>
                <w:szCs w:val="20"/>
                <w:color w:val="auto"/>
              </w:rPr>
              <w:t>Interest expense</w:t>
            </w:r>
          </w:p>
        </w:tc>
        <w:tc>
          <w:tcPr>
            <w:tcW w:w="300" w:type="dxa"/>
            <w:vAlign w:val="bottom"/>
          </w:tcPr>
          <w:p>
            <w:pPr>
              <w:spacing w:after="0"/>
              <w:rPr>
                <w:sz w:val="22"/>
                <w:szCs w:val="22"/>
                <w:color w:val="auto"/>
              </w:rPr>
            </w:pP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836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713</w:t>
            </w:r>
          </w:p>
        </w:tc>
      </w:tr>
      <w:tr>
        <w:trPr>
          <w:trHeight w:val="257"/>
        </w:trPr>
        <w:tc>
          <w:tcPr>
            <w:tcW w:w="7760" w:type="dxa"/>
            <w:vAlign w:val="bottom"/>
            <w:shd w:val="clear" w:color="auto" w:fill="CCEEFF"/>
          </w:tcPr>
          <w:p>
            <w:pPr>
              <w:ind w:left="380"/>
              <w:spacing w:after="0"/>
              <w:rPr>
                <w:sz w:val="20"/>
                <w:szCs w:val="20"/>
                <w:color w:val="auto"/>
              </w:rPr>
            </w:pPr>
            <w:r>
              <w:rPr>
                <w:rFonts w:ascii="Arial" w:cs="Arial" w:eastAsia="Arial" w:hAnsi="Arial"/>
                <w:sz w:val="20"/>
                <w:szCs w:val="20"/>
                <w:color w:val="auto"/>
              </w:rPr>
              <w:t>Other (income) expense, net</w:t>
            </w:r>
          </w:p>
        </w:tc>
        <w:tc>
          <w:tcPr>
            <w:tcW w:w="3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(3,149)</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(8,174)</w:t>
            </w:r>
          </w:p>
        </w:tc>
      </w:tr>
      <w:tr>
        <w:trPr>
          <w:trHeight w:val="250"/>
        </w:trPr>
        <w:tc>
          <w:tcPr>
            <w:tcW w:w="7760" w:type="dxa"/>
            <w:vAlign w:val="bottom"/>
          </w:tcPr>
          <w:p>
            <w:pPr>
              <w:ind w:left="180"/>
              <w:spacing w:after="0"/>
              <w:rPr>
                <w:sz w:val="20"/>
                <w:szCs w:val="20"/>
                <w:color w:val="auto"/>
              </w:rPr>
            </w:pPr>
            <w:r>
              <w:rPr>
                <w:rFonts w:ascii="Arial" w:cs="Arial" w:eastAsia="Arial" w:hAnsi="Arial"/>
                <w:sz w:val="20"/>
                <w:szCs w:val="20"/>
                <w:color w:val="auto"/>
              </w:rPr>
              <w:t>Earnings Before Income Taxes</w:t>
            </w:r>
          </w:p>
        </w:tc>
        <w:tc>
          <w:tcPr>
            <w:tcW w:w="300" w:type="dxa"/>
            <w:vAlign w:val="bottom"/>
          </w:tcPr>
          <w:p>
            <w:pPr>
              <w:spacing w:after="0"/>
              <w:rPr>
                <w:sz w:val="21"/>
                <w:szCs w:val="21"/>
                <w:color w:val="auto"/>
              </w:rPr>
            </w:pP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140,088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151,474</w:t>
            </w:r>
          </w:p>
        </w:tc>
      </w:tr>
      <w:tr>
        <w:trPr>
          <w:trHeight w:val="257"/>
        </w:trPr>
        <w:tc>
          <w:tcPr>
            <w:tcW w:w="7760" w:type="dxa"/>
            <w:vAlign w:val="bottom"/>
            <w:shd w:val="clear" w:color="auto" w:fill="CCEEFF"/>
          </w:tcPr>
          <w:p>
            <w:pPr>
              <w:ind w:left="380"/>
              <w:spacing w:after="0"/>
              <w:rPr>
                <w:sz w:val="20"/>
                <w:szCs w:val="20"/>
                <w:color w:val="auto"/>
              </w:rPr>
            </w:pPr>
            <w:r>
              <w:rPr>
                <w:rFonts w:ascii="Arial" w:cs="Arial" w:eastAsia="Arial" w:hAnsi="Arial"/>
                <w:sz w:val="20"/>
                <w:szCs w:val="20"/>
                <w:color w:val="auto"/>
              </w:rPr>
              <w:t>Income taxes</w:t>
            </w:r>
          </w:p>
        </w:tc>
        <w:tc>
          <w:tcPr>
            <w:tcW w:w="3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21,582</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27,373</w:t>
            </w:r>
          </w:p>
        </w:tc>
      </w:tr>
      <w:tr>
        <w:trPr>
          <w:trHeight w:val="250"/>
        </w:trPr>
        <w:tc>
          <w:tcPr>
            <w:tcW w:w="7760" w:type="dxa"/>
            <w:vAlign w:val="bottom"/>
          </w:tcPr>
          <w:p>
            <w:pPr>
              <w:ind w:left="180"/>
              <w:spacing w:after="0"/>
              <w:rPr>
                <w:sz w:val="20"/>
                <w:szCs w:val="20"/>
                <w:color w:val="auto"/>
              </w:rPr>
            </w:pPr>
            <w:r>
              <w:rPr>
                <w:rFonts w:ascii="Arial" w:cs="Arial" w:eastAsia="Arial" w:hAnsi="Arial"/>
                <w:sz w:val="20"/>
                <w:szCs w:val="20"/>
                <w:color w:val="auto"/>
              </w:rPr>
              <w:t>Net Earnings</w:t>
            </w: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118,506</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124,101</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7760" w:type="dxa"/>
            <w:vAlign w:val="bottom"/>
            <w:shd w:val="clear" w:color="auto" w:fill="CCEEFF"/>
          </w:tcPr>
          <w:p>
            <w:pPr>
              <w:ind w:left="20"/>
              <w:spacing w:after="0" w:line="224" w:lineRule="exact"/>
              <w:rPr>
                <w:sz w:val="20"/>
                <w:szCs w:val="20"/>
                <w:color w:val="auto"/>
              </w:rPr>
            </w:pPr>
            <w:r>
              <w:rPr>
                <w:rFonts w:ascii="Arial" w:cs="Arial" w:eastAsia="Arial" w:hAnsi="Arial"/>
                <w:sz w:val="20"/>
                <w:szCs w:val="20"/>
                <w:color w:val="auto"/>
              </w:rPr>
              <w:t>Net Earnings per Common Share</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57"/>
        </w:trPr>
        <w:tc>
          <w:tcPr>
            <w:tcW w:w="7760" w:type="dxa"/>
            <w:vAlign w:val="bottom"/>
          </w:tcPr>
          <w:p>
            <w:pPr>
              <w:ind w:left="220"/>
              <w:spacing w:after="0"/>
              <w:rPr>
                <w:sz w:val="20"/>
                <w:szCs w:val="20"/>
                <w:color w:val="auto"/>
              </w:rPr>
            </w:pPr>
            <w:r>
              <w:rPr>
                <w:rFonts w:ascii="Arial" w:cs="Arial" w:eastAsia="Arial" w:hAnsi="Arial"/>
                <w:sz w:val="20"/>
                <w:szCs w:val="20"/>
                <w:color w:val="auto"/>
              </w:rPr>
              <w:t>Basic</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0.72</w:t>
            </w:r>
          </w:p>
        </w:tc>
        <w:tc>
          <w:tcPr>
            <w:tcW w:w="10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0.74</w:t>
            </w:r>
          </w:p>
        </w:tc>
      </w:tr>
      <w:tr>
        <w:trPr>
          <w:trHeight w:val="256"/>
        </w:trPr>
        <w:tc>
          <w:tcPr>
            <w:tcW w:w="7760" w:type="dxa"/>
            <w:vAlign w:val="bottom"/>
            <w:shd w:val="clear" w:color="auto" w:fill="CCEEFF"/>
          </w:tcPr>
          <w:p>
            <w:pPr>
              <w:ind w:left="220"/>
              <w:spacing w:after="0"/>
              <w:rPr>
                <w:sz w:val="20"/>
                <w:szCs w:val="20"/>
                <w:color w:val="auto"/>
              </w:rPr>
            </w:pPr>
            <w:r>
              <w:rPr>
                <w:rFonts w:ascii="Arial" w:cs="Arial" w:eastAsia="Arial" w:hAnsi="Arial"/>
                <w:sz w:val="20"/>
                <w:szCs w:val="20"/>
                <w:color w:val="auto"/>
              </w:rPr>
              <w:t>Diluted</w:t>
            </w: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0.70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0.72</w:t>
            </w:r>
          </w:p>
        </w:tc>
      </w:tr>
      <w:tr>
        <w:trPr>
          <w:trHeight w:val="257"/>
        </w:trPr>
        <w:tc>
          <w:tcPr>
            <w:tcW w:w="7760" w:type="dxa"/>
            <w:vAlign w:val="bottom"/>
          </w:tcPr>
          <w:p>
            <w:pPr>
              <w:ind w:left="20"/>
              <w:spacing w:after="0"/>
              <w:rPr>
                <w:sz w:val="20"/>
                <w:szCs w:val="20"/>
                <w:color w:val="auto"/>
              </w:rPr>
            </w:pPr>
            <w:r>
              <w:rPr>
                <w:rFonts w:ascii="Arial" w:cs="Arial" w:eastAsia="Arial" w:hAnsi="Arial"/>
                <w:sz w:val="20"/>
                <w:szCs w:val="20"/>
                <w:color w:val="auto"/>
              </w:rPr>
              <w:t>Weighted Average Number of Shares</w:t>
            </w: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7"/>
        </w:trPr>
        <w:tc>
          <w:tcPr>
            <w:tcW w:w="7760" w:type="dxa"/>
            <w:vAlign w:val="bottom"/>
            <w:shd w:val="clear" w:color="auto" w:fill="CCEEFF"/>
          </w:tcPr>
          <w:p>
            <w:pPr>
              <w:ind w:left="220"/>
              <w:spacing w:after="0"/>
              <w:rPr>
                <w:sz w:val="20"/>
                <w:szCs w:val="20"/>
                <w:color w:val="auto"/>
              </w:rPr>
            </w:pPr>
            <w:r>
              <w:rPr>
                <w:rFonts w:ascii="Arial" w:cs="Arial" w:eastAsia="Arial" w:hAnsi="Arial"/>
                <w:sz w:val="20"/>
                <w:szCs w:val="20"/>
                <w:color w:val="auto"/>
              </w:rPr>
              <w:t>Basic</w:t>
            </w: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165,632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168,560</w:t>
            </w:r>
          </w:p>
        </w:tc>
      </w:tr>
      <w:tr>
        <w:trPr>
          <w:trHeight w:val="261"/>
        </w:trPr>
        <w:tc>
          <w:tcPr>
            <w:tcW w:w="7760" w:type="dxa"/>
            <w:vAlign w:val="bottom"/>
          </w:tcPr>
          <w:p>
            <w:pPr>
              <w:ind w:left="220"/>
              <w:spacing w:after="0"/>
              <w:rPr>
                <w:sz w:val="20"/>
                <w:szCs w:val="20"/>
                <w:color w:val="auto"/>
              </w:rPr>
            </w:pPr>
            <w:r>
              <w:rPr>
                <w:rFonts w:ascii="Arial" w:cs="Arial" w:eastAsia="Arial" w:hAnsi="Arial"/>
                <w:sz w:val="20"/>
                <w:szCs w:val="20"/>
                <w:color w:val="auto"/>
              </w:rPr>
              <w:t>Diluted</w:t>
            </w:r>
          </w:p>
        </w:tc>
        <w:tc>
          <w:tcPr>
            <w:tcW w:w="300" w:type="dxa"/>
            <w:vAlign w:val="bottom"/>
          </w:tcPr>
          <w:p>
            <w:pPr>
              <w:spacing w:after="0"/>
              <w:rPr>
                <w:sz w:val="22"/>
                <w:szCs w:val="22"/>
                <w:color w:val="auto"/>
              </w:rPr>
            </w:pP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168,334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171,581</w:t>
            </w:r>
          </w:p>
        </w:tc>
      </w:tr>
    </w:tbl>
    <w:p>
      <w:pPr>
        <w:spacing w:after="0" w:line="30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 xml:space="preserve">SEGMENT INFORMATION </w:t>
      </w:r>
      <w:r>
        <w:rPr>
          <w:rFonts w:ascii="Arial" w:cs="Arial" w:eastAsia="Arial" w:hAnsi="Arial"/>
          <w:sz w:val="19"/>
          <w:szCs w:val="19"/>
          <w:b w:val="1"/>
          <w:bCs w:val="1"/>
          <w:color w:val="auto"/>
        </w:rPr>
        <w:t>(Unaudited)</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(In thousands)</w:t>
      </w:r>
    </w:p>
    <w:p>
      <w:pPr>
        <w:spacing w:after="0" w:line="117" w:lineRule="exact"/>
        <w:rPr>
          <w:sz w:val="20"/>
          <w:szCs w:val="20"/>
          <w:color w:val="auto"/>
        </w:rPr>
      </w:pPr>
    </w:p>
    <w:tbl>
      <w:tblPr>
        <w:tblLayout w:type="fixed"/>
        <w:tblInd w:w="100" w:type="dxa"/>
        <w:tblCellMar>
          <w:top w:w="0" w:type="dxa"/>
          <w:left w:w="0" w:type="dxa"/>
          <w:bottom w:w="0" w:type="dxa"/>
          <w:right w:w="0" w:type="dxa"/>
        </w:tblCellMar>
      </w:tblPr>
      <w:tr>
        <w:trPr>
          <w:trHeight w:val="263"/>
        </w:trPr>
        <w:tc>
          <w:tcPr>
            <w:tcW w:w="77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gridSpan w:val="4"/>
          </w:tcPr>
          <w:p>
            <w:pPr>
              <w:jc w:val="right"/>
              <w:ind w:right="641"/>
              <w:spacing w:after="0"/>
              <w:rPr>
                <w:sz w:val="20"/>
                <w:szCs w:val="20"/>
                <w:color w:val="auto"/>
              </w:rPr>
            </w:pPr>
            <w:r>
              <w:rPr>
                <w:rFonts w:ascii="Arial" w:cs="Arial" w:eastAsia="Arial" w:hAnsi="Arial"/>
                <w:sz w:val="20"/>
                <w:szCs w:val="20"/>
                <w:color w:val="auto"/>
              </w:rPr>
              <w:t>Three Months Ended</w:t>
            </w:r>
          </w:p>
        </w:tc>
        <w:tc>
          <w:tcPr>
            <w:tcW w:w="0" w:type="dxa"/>
            <w:vAlign w:val="bottom"/>
          </w:tcPr>
          <w:p>
            <w:pPr>
              <w:spacing w:after="0"/>
              <w:rPr>
                <w:sz w:val="1"/>
                <w:szCs w:val="1"/>
                <w:color w:val="auto"/>
              </w:rPr>
            </w:pPr>
          </w:p>
        </w:tc>
      </w:tr>
      <w:tr>
        <w:trPr>
          <w:trHeight w:val="190"/>
        </w:trPr>
        <w:tc>
          <w:tcPr>
            <w:tcW w:w="7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2"/>
          </w:tcPr>
          <w:p>
            <w:pPr>
              <w:ind w:left="160"/>
              <w:spacing w:after="0" w:line="189" w:lineRule="exact"/>
              <w:rPr>
                <w:sz w:val="20"/>
                <w:szCs w:val="20"/>
                <w:color w:val="auto"/>
              </w:rPr>
            </w:pPr>
            <w:r>
              <w:rPr>
                <w:rFonts w:ascii="Arial" w:cs="Arial" w:eastAsia="Arial" w:hAnsi="Arial"/>
                <w:sz w:val="20"/>
                <w:szCs w:val="20"/>
                <w:color w:val="auto"/>
              </w:rPr>
              <w:t>Mar 27,</w:t>
            </w:r>
          </w:p>
        </w:tc>
        <w:tc>
          <w:tcPr>
            <w:tcW w:w="300" w:type="dxa"/>
            <w:vAlign w:val="bottom"/>
          </w:tcPr>
          <w:p>
            <w:pPr>
              <w:spacing w:after="0"/>
              <w:rPr>
                <w:sz w:val="16"/>
                <w:szCs w:val="16"/>
                <w:color w:val="auto"/>
              </w:rPr>
            </w:pPr>
          </w:p>
        </w:tc>
        <w:tc>
          <w:tcPr>
            <w:tcW w:w="1300" w:type="dxa"/>
            <w:vAlign w:val="bottom"/>
          </w:tcPr>
          <w:p>
            <w:pPr>
              <w:jc w:val="right"/>
              <w:ind w:right="361"/>
              <w:spacing w:after="0" w:line="189" w:lineRule="exact"/>
              <w:rPr>
                <w:sz w:val="20"/>
                <w:szCs w:val="20"/>
                <w:color w:val="auto"/>
              </w:rPr>
            </w:pPr>
            <w:r>
              <w:rPr>
                <w:rFonts w:ascii="Arial" w:cs="Arial" w:eastAsia="Arial" w:hAnsi="Arial"/>
                <w:sz w:val="20"/>
                <w:szCs w:val="20"/>
                <w:color w:val="auto"/>
              </w:rPr>
              <w:t>Mar 28,</w:t>
            </w:r>
          </w:p>
        </w:tc>
        <w:tc>
          <w:tcPr>
            <w:tcW w:w="0" w:type="dxa"/>
            <w:vAlign w:val="bottom"/>
          </w:tcPr>
          <w:p>
            <w:pPr>
              <w:spacing w:after="0"/>
              <w:rPr>
                <w:sz w:val="1"/>
                <w:szCs w:val="1"/>
                <w:color w:val="auto"/>
              </w:rPr>
            </w:pPr>
          </w:p>
        </w:tc>
      </w:tr>
      <w:tr>
        <w:trPr>
          <w:trHeight w:val="251"/>
        </w:trPr>
        <w:tc>
          <w:tcPr>
            <w:tcW w:w="77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2026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2025</w:t>
            </w:r>
          </w:p>
        </w:tc>
        <w:tc>
          <w:tcPr>
            <w:tcW w:w="0" w:type="dxa"/>
            <w:vAlign w:val="bottom"/>
          </w:tcPr>
          <w:p>
            <w:pPr>
              <w:spacing w:after="0"/>
              <w:rPr>
                <w:sz w:val="1"/>
                <w:szCs w:val="1"/>
                <w:color w:val="auto"/>
              </w:rPr>
            </w:pPr>
          </w:p>
        </w:tc>
      </w:tr>
      <w:tr>
        <w:trPr>
          <w:trHeight w:val="237"/>
        </w:trPr>
        <w:tc>
          <w:tcPr>
            <w:tcW w:w="776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Sales</w:t>
            </w: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760" w:type="dxa"/>
            <w:vAlign w:val="bottom"/>
          </w:tcPr>
          <w:p>
            <w:pPr>
              <w:ind w:left="280"/>
              <w:spacing w:after="0"/>
              <w:rPr>
                <w:sz w:val="20"/>
                <w:szCs w:val="20"/>
                <w:color w:val="auto"/>
              </w:rPr>
            </w:pPr>
            <w:r>
              <w:rPr>
                <w:rFonts w:ascii="Arial" w:cs="Arial" w:eastAsia="Arial" w:hAnsi="Arial"/>
                <w:sz w:val="20"/>
                <w:szCs w:val="20"/>
                <w:color w:val="auto"/>
              </w:rPr>
              <w:t>Contractor</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259,981</w:t>
            </w:r>
          </w:p>
        </w:tc>
        <w:tc>
          <w:tcPr>
            <w:tcW w:w="10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255,032</w:t>
            </w:r>
          </w:p>
        </w:tc>
        <w:tc>
          <w:tcPr>
            <w:tcW w:w="0" w:type="dxa"/>
            <w:vAlign w:val="bottom"/>
          </w:tcPr>
          <w:p>
            <w:pPr>
              <w:spacing w:after="0"/>
              <w:rPr>
                <w:sz w:val="1"/>
                <w:szCs w:val="1"/>
                <w:color w:val="auto"/>
              </w:rPr>
            </w:pPr>
          </w:p>
        </w:tc>
      </w:tr>
      <w:tr>
        <w:trPr>
          <w:trHeight w:val="257"/>
        </w:trPr>
        <w:tc>
          <w:tcPr>
            <w:tcW w:w="7760" w:type="dxa"/>
            <w:vAlign w:val="bottom"/>
            <w:shd w:val="clear" w:color="auto" w:fill="CCEEFF"/>
          </w:tcPr>
          <w:p>
            <w:pPr>
              <w:ind w:left="280"/>
              <w:spacing w:after="0"/>
              <w:rPr>
                <w:sz w:val="20"/>
                <w:szCs w:val="20"/>
                <w:color w:val="auto"/>
              </w:rPr>
            </w:pPr>
            <w:r>
              <w:rPr>
                <w:rFonts w:ascii="Arial" w:cs="Arial" w:eastAsia="Arial" w:hAnsi="Arial"/>
                <w:sz w:val="20"/>
                <w:szCs w:val="20"/>
                <w:color w:val="auto"/>
              </w:rPr>
              <w:t>Industrial</w:t>
            </w: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240,412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231,653</w:t>
            </w:r>
          </w:p>
        </w:tc>
        <w:tc>
          <w:tcPr>
            <w:tcW w:w="0" w:type="dxa"/>
            <w:vAlign w:val="bottom"/>
          </w:tcPr>
          <w:p>
            <w:pPr>
              <w:spacing w:after="0"/>
              <w:rPr>
                <w:sz w:val="1"/>
                <w:szCs w:val="1"/>
                <w:color w:val="auto"/>
              </w:rPr>
            </w:pPr>
          </w:p>
        </w:tc>
      </w:tr>
      <w:tr>
        <w:trPr>
          <w:trHeight w:val="257"/>
        </w:trPr>
        <w:tc>
          <w:tcPr>
            <w:tcW w:w="7760" w:type="dxa"/>
            <w:vAlign w:val="bottom"/>
            <w:tcBorders>
              <w:bottom w:val="single" w:sz="8" w:color="CCEEFF"/>
            </w:tcBorders>
          </w:tcPr>
          <w:p>
            <w:pPr>
              <w:ind w:left="280"/>
              <w:spacing w:after="0"/>
              <w:rPr>
                <w:sz w:val="20"/>
                <w:szCs w:val="20"/>
                <w:color w:val="auto"/>
              </w:rPr>
            </w:pPr>
            <w:r>
              <w:rPr>
                <w:rFonts w:ascii="Arial" w:cs="Arial" w:eastAsia="Arial" w:hAnsi="Arial"/>
                <w:sz w:val="20"/>
                <w:szCs w:val="20"/>
                <w:color w:val="auto"/>
              </w:rPr>
              <w:t>Expansion Markets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39,751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41,599</w:t>
            </w:r>
          </w:p>
        </w:tc>
        <w:tc>
          <w:tcPr>
            <w:tcW w:w="0" w:type="dxa"/>
            <w:vAlign w:val="bottom"/>
          </w:tcPr>
          <w:p>
            <w:pPr>
              <w:spacing w:after="0"/>
              <w:rPr>
                <w:sz w:val="1"/>
                <w:szCs w:val="1"/>
                <w:color w:val="auto"/>
              </w:rPr>
            </w:pPr>
          </w:p>
        </w:tc>
      </w:tr>
      <w:tr>
        <w:trPr>
          <w:trHeight w:val="275"/>
        </w:trPr>
        <w:tc>
          <w:tcPr>
            <w:tcW w:w="7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20"/>
                <w:szCs w:val="20"/>
                <w:color w:val="auto"/>
              </w:rPr>
              <w:t>Total</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540,144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528,284</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color w:val="auto"/>
              </w:rPr>
              <w:t>Operating Earnings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760" w:type="dxa"/>
            <w:vAlign w:val="bottom"/>
            <w:shd w:val="clear" w:color="auto" w:fill="CCEEFF"/>
          </w:tcPr>
          <w:p>
            <w:pPr>
              <w:ind w:left="280"/>
              <w:spacing w:after="0"/>
              <w:rPr>
                <w:sz w:val="20"/>
                <w:szCs w:val="20"/>
                <w:color w:val="auto"/>
              </w:rPr>
            </w:pPr>
            <w:r>
              <w:rPr>
                <w:rFonts w:ascii="Arial" w:cs="Arial" w:eastAsia="Arial" w:hAnsi="Arial"/>
                <w:sz w:val="20"/>
                <w:szCs w:val="20"/>
                <w:color w:val="auto"/>
              </w:rPr>
              <w:t>Contractor</w:t>
            </w: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62,235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61,930</w:t>
            </w:r>
          </w:p>
        </w:tc>
        <w:tc>
          <w:tcPr>
            <w:tcW w:w="0" w:type="dxa"/>
            <w:vAlign w:val="bottom"/>
          </w:tcPr>
          <w:p>
            <w:pPr>
              <w:spacing w:after="0"/>
              <w:rPr>
                <w:sz w:val="1"/>
                <w:szCs w:val="1"/>
                <w:color w:val="auto"/>
              </w:rPr>
            </w:pPr>
          </w:p>
        </w:tc>
      </w:tr>
      <w:tr>
        <w:trPr>
          <w:trHeight w:val="257"/>
        </w:trPr>
        <w:tc>
          <w:tcPr>
            <w:tcW w:w="7760" w:type="dxa"/>
            <w:vAlign w:val="bottom"/>
          </w:tcPr>
          <w:p>
            <w:pPr>
              <w:ind w:left="280"/>
              <w:spacing w:after="0"/>
              <w:rPr>
                <w:sz w:val="20"/>
                <w:szCs w:val="20"/>
                <w:color w:val="auto"/>
              </w:rPr>
            </w:pPr>
            <w:r>
              <w:rPr>
                <w:rFonts w:ascii="Arial" w:cs="Arial" w:eastAsia="Arial" w:hAnsi="Arial"/>
                <w:sz w:val="20"/>
                <w:szCs w:val="20"/>
                <w:color w:val="auto"/>
              </w:rPr>
              <w:t>Industrial</w:t>
            </w:r>
          </w:p>
        </w:tc>
        <w:tc>
          <w:tcPr>
            <w:tcW w:w="300" w:type="dxa"/>
            <w:vAlign w:val="bottom"/>
          </w:tcPr>
          <w:p>
            <w:pPr>
              <w:spacing w:after="0"/>
              <w:rPr>
                <w:sz w:val="22"/>
                <w:szCs w:val="22"/>
                <w:color w:val="auto"/>
              </w:rPr>
            </w:pP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75,807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79,595</w:t>
            </w:r>
          </w:p>
        </w:tc>
        <w:tc>
          <w:tcPr>
            <w:tcW w:w="0" w:type="dxa"/>
            <w:vAlign w:val="bottom"/>
          </w:tcPr>
          <w:p>
            <w:pPr>
              <w:spacing w:after="0"/>
              <w:rPr>
                <w:sz w:val="1"/>
                <w:szCs w:val="1"/>
                <w:color w:val="auto"/>
              </w:rPr>
            </w:pPr>
          </w:p>
        </w:tc>
      </w:tr>
      <w:tr>
        <w:trPr>
          <w:trHeight w:val="257"/>
        </w:trPr>
        <w:tc>
          <w:tcPr>
            <w:tcW w:w="7760" w:type="dxa"/>
            <w:vAlign w:val="bottom"/>
            <w:shd w:val="clear" w:color="auto" w:fill="CCEEFF"/>
          </w:tcPr>
          <w:p>
            <w:pPr>
              <w:ind w:left="280"/>
              <w:spacing w:after="0"/>
              <w:rPr>
                <w:sz w:val="20"/>
                <w:szCs w:val="20"/>
                <w:color w:val="auto"/>
              </w:rPr>
            </w:pPr>
            <w:r>
              <w:rPr>
                <w:rFonts w:ascii="Arial" w:cs="Arial" w:eastAsia="Arial" w:hAnsi="Arial"/>
                <w:sz w:val="20"/>
                <w:szCs w:val="20"/>
                <w:color w:val="auto"/>
              </w:rPr>
              <w:t>Expansion Markets</w:t>
            </w: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9,644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10,065</w:t>
            </w:r>
          </w:p>
        </w:tc>
        <w:tc>
          <w:tcPr>
            <w:tcW w:w="0" w:type="dxa"/>
            <w:vAlign w:val="bottom"/>
          </w:tcPr>
          <w:p>
            <w:pPr>
              <w:spacing w:after="0"/>
              <w:rPr>
                <w:sz w:val="1"/>
                <w:szCs w:val="1"/>
                <w:color w:val="auto"/>
              </w:rPr>
            </w:pPr>
          </w:p>
        </w:tc>
      </w:tr>
      <w:tr>
        <w:trPr>
          <w:trHeight w:val="256"/>
        </w:trPr>
        <w:tc>
          <w:tcPr>
            <w:tcW w:w="7760" w:type="dxa"/>
            <w:vAlign w:val="bottom"/>
            <w:tcBorders>
              <w:bottom w:val="single" w:sz="8" w:color="CCEEFF"/>
            </w:tcBorders>
          </w:tcPr>
          <w:p>
            <w:pPr>
              <w:ind w:left="280"/>
              <w:spacing w:after="0"/>
              <w:rPr>
                <w:sz w:val="20"/>
                <w:szCs w:val="20"/>
                <w:color w:val="auto"/>
              </w:rPr>
            </w:pPr>
            <w:r>
              <w:rPr>
                <w:rFonts w:ascii="Arial" w:cs="Arial" w:eastAsia="Arial" w:hAnsi="Arial"/>
                <w:sz w:val="20"/>
                <w:szCs w:val="20"/>
                <w:color w:val="auto"/>
              </w:rPr>
              <w:t>Unallocated corporate (expense)</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(9,911)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(7,577)</w:t>
            </w:r>
          </w:p>
        </w:tc>
        <w:tc>
          <w:tcPr>
            <w:tcW w:w="0" w:type="dxa"/>
            <w:vAlign w:val="bottom"/>
          </w:tcPr>
          <w:p>
            <w:pPr>
              <w:spacing w:after="0"/>
              <w:rPr>
                <w:sz w:val="1"/>
                <w:szCs w:val="1"/>
                <w:color w:val="auto"/>
              </w:rPr>
            </w:pPr>
          </w:p>
        </w:tc>
      </w:tr>
      <w:tr>
        <w:trPr>
          <w:trHeight w:val="275"/>
        </w:trPr>
        <w:tc>
          <w:tcPr>
            <w:tcW w:w="7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20"/>
                <w:szCs w:val="20"/>
                <w:color w:val="auto"/>
              </w:rPr>
              <w:t>Total</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137,775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144,013</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160"/>
      </w:cols>
      <w:pgMar w:left="320" w:top="35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32"/>
    </w:lvl>
  </w:abstractNum>
  <w:abstractNum w:abstractNumId="5">
    <w:nsid w:val="515F007C"/>
    <w:multiLevelType w:val="hybridMultilevel"/>
    <w:lvl w:ilvl="0">
      <w:lvlJc w:val="left"/>
      <w:lvlText w:val="%1"/>
      <w:numFmt w:val="decimal"/>
      <w:start w:val="101"/>
    </w:lvl>
  </w:abstractNum>
  <w:abstractNum w:abstractNumId="6">
    <w:nsid w:val="5BD062C2"/>
    <w:multiLevelType w:val="hybridMultilevel"/>
    <w:lvl w:ilvl="0">
      <w:lvlJc w:val="left"/>
      <w:lvlText w:val="%1."/>
      <w:numFmt w:val="decimal"/>
      <w:start w:val="1"/>
    </w:lvl>
    <w:lvl w:ilvl="1">
      <w:lvlJc w:val="left"/>
      <w:lvlText w:val="%2."/>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jpeg"/><Relationship Id="rId40" Type="http://schemas.openxmlformats.org/officeDocument/2006/relationships/image" Target="media/image30.jpeg"/><Relationship Id="rId35" Type="http://schemas.openxmlformats.org/officeDocument/2006/relationships/hyperlink" Target="https://www.sec.gov/Archives/edgar/data/42888/000004288817000035/a31restatedarticlesofincor.htm" TargetMode="External"/><Relationship Id="rId36" Type="http://schemas.openxmlformats.org/officeDocument/2006/relationships/hyperlink" Target="https://www.sec.gov/Archives/edgar/data/42888/000004288825000011/ggg12272024exhibit32.htm" TargetMode="External"/><Relationship Id="rId37" Type="http://schemas.openxmlformats.org/officeDocument/2006/relationships/hyperlink" Target="https://www.sec.gov/Archives/edgar/data/42888/000119312526085816/d10419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2026-04-22T15:29:21Z</dcterms:created>
  <dcterms:modified xsi:type="dcterms:W3CDTF">2026-04-22T15:29:21Z</dcterms:modified>
</cp:coreProperties>
</file>