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Graco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63"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4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22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001-09249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41-0285640</w:t>
            </w:r>
          </w:p>
        </w:tc>
        <w:tc>
          <w:tcPr>
            <w:tcW w:w="100" w:type="dxa"/>
            <w:vAlign w:val="bottom"/>
          </w:tcPr>
          <w:p>
            <w:pPr>
              <w:spacing w:after="0"/>
              <w:rPr>
                <w:sz w:val="20"/>
                <w:szCs w:val="20"/>
                <w:color w:val="auto"/>
              </w:rPr>
            </w:pPr>
          </w:p>
        </w:tc>
      </w:tr>
      <w:tr>
        <w:trPr>
          <w:trHeight w:val="169"/>
        </w:trPr>
        <w:tc>
          <w:tcPr>
            <w:tcW w:w="100" w:type="dxa"/>
            <w:vAlign w:val="bottom"/>
          </w:tcPr>
          <w:p>
            <w:pPr>
              <w:spacing w:after="0"/>
              <w:rPr>
                <w:sz w:val="14"/>
                <w:szCs w:val="14"/>
                <w:color w:val="auto"/>
              </w:rPr>
            </w:pPr>
          </w:p>
        </w:tc>
        <w:tc>
          <w:tcPr>
            <w:tcW w:w="2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00" w:type="dxa"/>
            <w:vAlign w:val="bottom"/>
          </w:tcPr>
          <w:p>
            <w:pPr>
              <w:spacing w:after="0"/>
              <w:rPr>
                <w:sz w:val="14"/>
                <w:szCs w:val="14"/>
                <w:color w:val="auto"/>
              </w:rPr>
            </w:pPr>
          </w:p>
        </w:tc>
        <w:tc>
          <w:tcPr>
            <w:tcW w:w="34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100" w:type="dxa"/>
            <w:vAlign w:val="bottom"/>
          </w:tcPr>
          <w:p>
            <w:pPr>
              <w:spacing w:after="0"/>
              <w:rPr>
                <w:sz w:val="14"/>
                <w:szCs w:val="14"/>
                <w:color w:val="auto"/>
              </w:rPr>
            </w:pPr>
          </w:p>
        </w:tc>
      </w:tr>
      <w:tr>
        <w:trPr>
          <w:trHeight w:val="234"/>
        </w:trPr>
        <w:tc>
          <w:tcPr>
            <w:tcW w:w="100" w:type="dxa"/>
            <w:vAlign w:val="bottom"/>
          </w:tcPr>
          <w:p>
            <w:pPr>
              <w:spacing w:after="0"/>
              <w:rPr>
                <w:sz w:val="20"/>
                <w:szCs w:val="20"/>
                <w:color w:val="auto"/>
              </w:rPr>
            </w:pPr>
          </w:p>
        </w:tc>
        <w:tc>
          <w:tcPr>
            <w:tcW w:w="34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Incorporation)</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97"/>
        </w:trPr>
        <w:tc>
          <w:tcPr>
            <w:tcW w:w="100" w:type="dxa"/>
            <w:vAlign w:val="bottom"/>
          </w:tcPr>
          <w:p>
            <w:pPr>
              <w:spacing w:after="0"/>
              <w:rPr>
                <w:sz w:val="24"/>
                <w:szCs w:val="24"/>
                <w:color w:val="auto"/>
              </w:rPr>
            </w:pPr>
          </w:p>
        </w:tc>
        <w:tc>
          <w:tcPr>
            <w:tcW w:w="34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88 – 11th Avenue Northeast</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Minneapolis, Minnesota</w:t>
            </w:r>
          </w:p>
        </w:tc>
        <w:tc>
          <w:tcPr>
            <w:tcW w:w="130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55413</w:t>
            </w:r>
          </w:p>
        </w:tc>
        <w:tc>
          <w:tcPr>
            <w:tcW w:w="100" w:type="dxa"/>
            <w:vAlign w:val="bottom"/>
            <w:tcBorders>
              <w:bottom w:val="single" w:sz="8" w:color="auto"/>
            </w:tcBorders>
          </w:tcPr>
          <w:p>
            <w:pPr>
              <w:spacing w:after="0"/>
              <w:rPr>
                <w:sz w:val="23"/>
                <w:szCs w:val="23"/>
                <w:color w:val="auto"/>
              </w:rPr>
            </w:pPr>
          </w:p>
        </w:tc>
      </w:tr>
      <w:tr>
        <w:trPr>
          <w:trHeight w:val="228"/>
        </w:trPr>
        <w:tc>
          <w:tcPr>
            <w:tcW w:w="100" w:type="dxa"/>
            <w:vAlign w:val="bottom"/>
          </w:tcPr>
          <w:p>
            <w:pPr>
              <w:spacing w:after="0"/>
              <w:rPr>
                <w:sz w:val="19"/>
                <w:szCs w:val="19"/>
                <w:color w:val="auto"/>
              </w:rPr>
            </w:pPr>
          </w:p>
        </w:tc>
        <w:tc>
          <w:tcPr>
            <w:tcW w:w="47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34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c>
          <w:tcPr>
            <w:tcW w:w="100" w:type="dxa"/>
            <w:vAlign w:val="bottom"/>
          </w:tcPr>
          <w:p>
            <w:pPr>
              <w:spacing w:after="0"/>
              <w:rPr>
                <w:sz w:val="19"/>
                <w:szCs w:val="19"/>
                <w:color w:val="auto"/>
              </w:rPr>
            </w:pPr>
          </w:p>
        </w:tc>
      </w:tr>
    </w:tbl>
    <w:p>
      <w:pPr>
        <w:spacing w:after="0" w:line="13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(612) 623-6000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19685</wp:posOffset>
            </wp:positionV>
            <wp:extent cx="29660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4"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19685</wp:posOffset>
            </wp:positionV>
            <wp:extent cx="3429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4"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390" w:type="dxa"/>
        <w:tblCellMar>
          <w:top w:w="0" w:type="dxa"/>
          <w:left w:w="0" w:type="dxa"/>
          <w:bottom w:w="0" w:type="dxa"/>
          <w:right w:w="0" w:type="dxa"/>
        </w:tblCellMar>
      </w:tblPr>
      <w:tr>
        <w:trPr>
          <w:trHeight w:val="526"/>
        </w:trPr>
        <w:tc>
          <w:tcPr>
            <w:tcW w:w="2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GGG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74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ind w:left="1000" w:right="80" w:hanging="1295"/>
        <w:spacing w:after="0" w:line="255"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June 12, 2026, the Board of Directors (the “Board”) of Graco Inc. (the “Company”) appointed Mr. Steven B. Hedlund to serve as a director of the Company, effective September 10, 2026. Mr. Hedlund was appointed to the class of directors whose terms expire at the 2027 annual meeting of shareholders of the Company.</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Mr. Hedlund has been appointed to serve on the Board’s Audit Committee and Management Organization and Compensation Committee, effective September 10, 2026. In connection with his appointment, Mr. Hedlund will be receiving the standard director compensation as referenced in our Proxy Statement for the 2026 Annual Meeting, provided that his initial equity award will be pro-rated for his partial year of service.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880" w:hanging="38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June 12, 2026.</w:t>
      </w:r>
    </w:p>
    <w:p>
      <w:pPr>
        <w:spacing w:after="0" w:line="239"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(included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GRACO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800" w:val="left"/>
          <w:tab w:leader="none" w:pos="3800" w:val="left"/>
          <w:tab w:leader="none" w:pos="44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u w:val="single" w:color="auto"/>
          <w:color w:val="auto"/>
        </w:rPr>
        <w:t>June 15,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Joseph James Humke</w:t>
      </w:r>
      <w:r>
        <w:rPr>
          <w:rFonts w:ascii="Times New Roman" w:cs="Times New Roman" w:eastAsia="Times New Roman" w:hAnsi="Times New Roman"/>
          <w:sz w:val="19"/>
          <w:szCs w:val="19"/>
          <w:color w:val="auto"/>
        </w:rPr>
        <w:t>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Joseph James Humke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Its: Executive Vice President, General Counsel and Corporate Secretary</w:t>
      </w:r>
    </w:p>
    <w:p>
      <w:pPr>
        <w:sectPr>
          <w:pgSz w:w="11900" w:h="16838" w:orient="portrait"/>
          <w:cols w:equalWidth="0" w:num="1">
            <w:col w:w="11240"/>
          </w:cols>
          <w:pgMar w:left="320" w:top="882"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r>
              <w:rPr>
                <w:rFonts w:ascii="Arial" w:cs="Arial" w:eastAsia="Arial" w:hAnsi="Arial"/>
                <w:sz w:val="18"/>
                <w:szCs w:val="18"/>
                <w:color w:val="auto"/>
              </w:rPr>
              <w:t>Exhibit 99.1</w:t>
            </w:r>
          </w:p>
        </w:tc>
        <w:tc>
          <w:tcPr>
            <w:tcW w:w="3320" w:type="dxa"/>
            <w:vAlign w:val="bottom"/>
          </w:tcPr>
          <w:p>
            <w:pPr>
              <w:spacing w:after="0"/>
              <w:rPr>
                <w:sz w:val="20"/>
                <w:szCs w:val="20"/>
                <w:color w:val="auto"/>
              </w:rPr>
            </w:pPr>
          </w:p>
        </w:tc>
        <w:tc>
          <w:tcPr>
            <w:tcW w:w="2680" w:type="dxa"/>
            <w:vAlign w:val="bottom"/>
            <w:gridSpan w:val="2"/>
          </w:tcPr>
          <w:p>
            <w:pPr>
              <w:jc w:val="right"/>
              <w:ind w:right="1430"/>
              <w:spacing w:after="0"/>
              <w:rPr>
                <w:sz w:val="20"/>
                <w:szCs w:val="20"/>
                <w:color w:val="auto"/>
              </w:rPr>
            </w:pPr>
            <w:r>
              <w:rPr>
                <w:rFonts w:ascii="Arial" w:cs="Arial" w:eastAsia="Arial" w:hAnsi="Arial"/>
                <w:sz w:val="18"/>
                <w:szCs w:val="18"/>
                <w:color w:val="auto"/>
              </w:rPr>
              <w:t>GRACO INC.</w:t>
            </w:r>
          </w:p>
        </w:tc>
      </w:tr>
      <w:tr>
        <w:trPr>
          <w:trHeight w:val="270"/>
        </w:trPr>
        <w:tc>
          <w:tcPr>
            <w:tcW w:w="5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680" w:type="dxa"/>
            <w:vAlign w:val="bottom"/>
            <w:gridSpan w:val="2"/>
          </w:tcPr>
          <w:p>
            <w:pPr>
              <w:jc w:val="right"/>
              <w:ind w:right="1430"/>
              <w:spacing w:after="0"/>
              <w:rPr>
                <w:sz w:val="20"/>
                <w:szCs w:val="20"/>
                <w:color w:val="auto"/>
              </w:rPr>
            </w:pPr>
            <w:r>
              <w:rPr>
                <w:rFonts w:ascii="Arial" w:cs="Arial" w:eastAsia="Arial" w:hAnsi="Arial"/>
                <w:sz w:val="18"/>
                <w:szCs w:val="18"/>
                <w:color w:val="auto"/>
                <w:w w:val="97"/>
              </w:rPr>
              <w:t>P.O. Box 1441</w:t>
            </w:r>
          </w:p>
        </w:tc>
      </w:tr>
      <w:tr>
        <w:trPr>
          <w:trHeight w:val="270"/>
        </w:trPr>
        <w:tc>
          <w:tcPr>
            <w:tcW w:w="5200" w:type="dxa"/>
            <w:vAlign w:val="bottom"/>
          </w:tcPr>
          <w:p>
            <w:pPr>
              <w:spacing w:after="0"/>
              <w:rPr>
                <w:sz w:val="23"/>
                <w:szCs w:val="23"/>
                <w:color w:val="auto"/>
              </w:rPr>
            </w:pPr>
          </w:p>
        </w:tc>
        <w:tc>
          <w:tcPr>
            <w:tcW w:w="6000" w:type="dxa"/>
            <w:vAlign w:val="bottom"/>
            <w:gridSpan w:val="3"/>
          </w:tcPr>
          <w:p>
            <w:pPr>
              <w:jc w:val="right"/>
              <w:ind w:right="1430"/>
              <w:spacing w:after="0"/>
              <w:rPr>
                <w:sz w:val="20"/>
                <w:szCs w:val="20"/>
                <w:color w:val="auto"/>
              </w:rPr>
            </w:pPr>
            <w:r>
              <w:rPr>
                <w:rFonts w:ascii="Arial" w:cs="Arial" w:eastAsia="Arial" w:hAnsi="Arial"/>
                <w:sz w:val="18"/>
                <w:szCs w:val="18"/>
                <w:color w:val="auto"/>
              </w:rPr>
              <w:t>Minneapolis, MN</w:t>
            </w:r>
          </w:p>
        </w:tc>
      </w:tr>
      <w:tr>
        <w:trPr>
          <w:trHeight w:val="270"/>
        </w:trPr>
        <w:tc>
          <w:tcPr>
            <w:tcW w:w="5200" w:type="dxa"/>
            <w:vAlign w:val="bottom"/>
          </w:tcPr>
          <w:p>
            <w:pPr>
              <w:spacing w:after="0"/>
              <w:rPr>
                <w:sz w:val="23"/>
                <w:szCs w:val="23"/>
                <w:color w:val="auto"/>
              </w:rPr>
            </w:pPr>
          </w:p>
        </w:tc>
        <w:tc>
          <w:tcPr>
            <w:tcW w:w="6000" w:type="dxa"/>
            <w:vAlign w:val="bottom"/>
            <w:gridSpan w:val="3"/>
          </w:tcPr>
          <w:p>
            <w:pPr>
              <w:jc w:val="right"/>
              <w:ind w:right="1430"/>
              <w:spacing w:after="0"/>
              <w:rPr>
                <w:sz w:val="20"/>
                <w:szCs w:val="20"/>
                <w:color w:val="auto"/>
              </w:rPr>
            </w:pPr>
            <w:r>
              <w:rPr>
                <w:rFonts w:ascii="Arial" w:cs="Arial" w:eastAsia="Arial" w:hAnsi="Arial"/>
                <w:sz w:val="18"/>
                <w:szCs w:val="18"/>
                <w:color w:val="auto"/>
              </w:rPr>
              <w:t>55440-1441</w:t>
            </w:r>
          </w:p>
        </w:tc>
      </w:tr>
      <w:tr>
        <w:trPr>
          <w:trHeight w:val="270"/>
        </w:trPr>
        <w:tc>
          <w:tcPr>
            <w:tcW w:w="5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680" w:type="dxa"/>
            <w:vAlign w:val="bottom"/>
            <w:gridSpan w:val="2"/>
          </w:tcPr>
          <w:p>
            <w:pPr>
              <w:jc w:val="right"/>
              <w:ind w:right="1430"/>
              <w:spacing w:after="0"/>
              <w:rPr>
                <w:sz w:val="20"/>
                <w:szCs w:val="20"/>
                <w:color w:val="auto"/>
              </w:rPr>
            </w:pPr>
            <w:r>
              <w:rPr>
                <w:rFonts w:ascii="Arial" w:cs="Arial" w:eastAsia="Arial" w:hAnsi="Arial"/>
                <w:sz w:val="18"/>
                <w:szCs w:val="18"/>
                <w:color w:val="auto"/>
              </w:rPr>
              <w:t>NYSE: GGG</w:t>
            </w:r>
          </w:p>
        </w:tc>
      </w:tr>
      <w:tr>
        <w:trPr>
          <w:trHeight w:val="342"/>
        </w:trPr>
        <w:tc>
          <w:tcPr>
            <w:tcW w:w="520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32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FOR FURTHER INFORMATION:</w:t>
            </w:r>
          </w:p>
        </w:tc>
      </w:tr>
      <w:tr>
        <w:trPr>
          <w:trHeight w:val="181"/>
        </w:trPr>
        <w:tc>
          <w:tcPr>
            <w:tcW w:w="5200" w:type="dxa"/>
            <w:vAlign w:val="bottom"/>
          </w:tcPr>
          <w:p>
            <w:pPr>
              <w:spacing w:after="0" w:line="181" w:lineRule="exact"/>
              <w:rPr>
                <w:sz w:val="20"/>
                <w:szCs w:val="20"/>
                <w:color w:val="auto"/>
              </w:rPr>
            </w:pPr>
            <w:r>
              <w:rPr>
                <w:rFonts w:ascii="Arial" w:cs="Arial" w:eastAsia="Arial" w:hAnsi="Arial"/>
                <w:sz w:val="18"/>
                <w:szCs w:val="18"/>
                <w:color w:val="auto"/>
              </w:rPr>
              <w:t>June 12, 2026</w:t>
            </w:r>
          </w:p>
        </w:tc>
        <w:tc>
          <w:tcPr>
            <w:tcW w:w="600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Media: Meredith Sobieck, 763-353-1498</w:t>
            </w:r>
          </w:p>
        </w:tc>
      </w:tr>
      <w:tr>
        <w:trPr>
          <w:trHeight w:val="189"/>
        </w:trPr>
        <w:tc>
          <w:tcPr>
            <w:tcW w:w="5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80" w:type="dxa"/>
            <w:vAlign w:val="bottom"/>
            <w:tcBorders>
              <w:bottom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99"/>
              </w:rPr>
              <w:t>Meredith_A_Sobieck@graco.com</w:t>
            </w:r>
          </w:p>
        </w:tc>
      </w:tr>
      <w:tr>
        <w:trPr>
          <w:trHeight w:val="169"/>
        </w:trPr>
        <w:tc>
          <w:tcPr>
            <w:tcW w:w="5200" w:type="dxa"/>
            <w:vAlign w:val="bottom"/>
          </w:tcPr>
          <w:p>
            <w:pPr>
              <w:spacing w:after="0"/>
              <w:rPr>
                <w:sz w:val="14"/>
                <w:szCs w:val="14"/>
                <w:color w:val="auto"/>
              </w:rPr>
            </w:pPr>
          </w:p>
        </w:tc>
        <w:tc>
          <w:tcPr>
            <w:tcW w:w="600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Investors: John Bower, 612-623-6770</w:t>
            </w:r>
          </w:p>
        </w:tc>
      </w:tr>
      <w:tr>
        <w:trPr>
          <w:trHeight w:val="189"/>
        </w:trPr>
        <w:tc>
          <w:tcPr>
            <w:tcW w:w="5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99"/>
              </w:rPr>
              <w:t>John_M_Bower@graco.com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6611620</wp:posOffset>
            </wp:positionH>
            <wp:positionV relativeFrom="page">
              <wp:posOffset>603250</wp:posOffset>
            </wp:positionV>
            <wp:extent cx="7200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20090" cy="7886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-1208405</wp:posOffset>
            </wp:positionV>
            <wp:extent cx="221170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1705" cy="44577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Graco Inc. Appoints Steven B. Hedlund to the Board of Directors</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MINNEAPOLIS – June 12, 2026 – </w:t>
      </w:r>
      <w:r>
        <w:rPr>
          <w:rFonts w:ascii="Times New Roman" w:cs="Times New Roman" w:eastAsia="Times New Roman" w:hAnsi="Times New Roman"/>
          <w:sz w:val="20"/>
          <w:szCs w:val="20"/>
          <w:color w:val="auto"/>
        </w:rPr>
        <w:t>Graco Inc.</w:t>
      </w:r>
      <w:r>
        <w:rPr>
          <w:rFonts w:ascii="Times New Roman" w:cs="Times New Roman" w:eastAsia="Times New Roman" w:hAnsi="Times New Roman"/>
          <w:sz w:val="20"/>
          <w:szCs w:val="20"/>
          <w:b w:val="1"/>
          <w:bCs w:val="1"/>
          <w:color w:val="auto"/>
        </w:rPr>
        <w:t xml:space="preserve"> (NYSE:GGG) </w:t>
      </w:r>
      <w:r>
        <w:rPr>
          <w:rFonts w:ascii="Times New Roman" w:cs="Times New Roman" w:eastAsia="Times New Roman" w:hAnsi="Times New Roman"/>
          <w:sz w:val="20"/>
          <w:szCs w:val="20"/>
          <w:color w:val="auto"/>
        </w:rPr>
        <w:t>announced today that Steven B. Hedlund has been appointed as a member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Board of Directors, effective September 10, 2026.</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Mr. Hedlund is President and Chief Executive Officer of Lincoln Electric Holdings, Inc. </w:t>
      </w:r>
      <w:r>
        <w:rPr>
          <w:rFonts w:ascii="Times New Roman" w:cs="Times New Roman" w:eastAsia="Times New Roman" w:hAnsi="Times New Roman"/>
          <w:sz w:val="20"/>
          <w:szCs w:val="20"/>
          <w:b w:val="1"/>
          <w:bCs w:val="1"/>
          <w:color w:val="auto"/>
        </w:rPr>
        <w:t>(Nasdaq: LECO)</w:t>
      </w:r>
      <w:r>
        <w:rPr>
          <w:rFonts w:ascii="Times New Roman" w:cs="Times New Roman" w:eastAsia="Times New Roman" w:hAnsi="Times New Roman"/>
          <w:sz w:val="20"/>
          <w:szCs w:val="20"/>
          <w:color w:val="auto"/>
        </w:rPr>
        <w:t>, a leading manufacturer of advanced arc welding solutions, a role he has held since January 2024. He also serves as its Chairman. Previously, he was Lincoln Electric’s Chief Operating Officer and served in various other operating, strategic and business development leadership roles. Before joining Lincoln Electric, Mr. Hedlund was Vice President, Growth and Innovation and Vice President Strategy and New Business Development at Fortune Brands, Inc. Earlier in his career, he was a principal with the management consulting firm of Booz Allen Hamilton. Mr. Hedlund holds both a bachelor’s degree and a Master of Business Administration from Dartmouth College.</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delighted to have Steve join the Graco Board of Directors. He is a proven leader with a growth-oriented mindset and a track record of driving value creation, including in international markets,” said J. Kevin Gilligan, Graco’s Chairman of the Board. “Steve brings with him a deep understanding of the manufacturing sector and global go-to-market strategy development and execution. He is a natural fit for our board, and we look forward to his many contributions to Graco’s future success.”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E101A"/>
        </w:rPr>
        <w:t>Mr. Hedlund will serve on the company’s Audit Committee and Management Organization and Compensation Committee.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GRACO</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Times New Roman" w:cs="Times New Roman" w:eastAsia="Times New Roman" w:hAnsi="Times New Roman"/>
          <w:sz w:val="20"/>
          <w:szCs w:val="20"/>
          <w:u w:val="single" w:color="auto"/>
          <w:color w:val="3051F2"/>
        </w:rPr>
        <w:t>www.graco.com</w:t>
      </w:r>
      <w:r>
        <w:rPr>
          <w:rFonts w:ascii="Times New Roman" w:cs="Times New Roman" w:eastAsia="Times New Roman" w:hAnsi="Times New Roman"/>
          <w:sz w:val="20"/>
          <w:szCs w:val="20"/>
          <w:color w:val="auto"/>
        </w:rPr>
        <w:t>.</w:t>
      </w:r>
    </w:p>
    <w:sectPr>
      <w:pgSz w:w="11900" w:h="16838" w:orient="portrait"/>
      <w:cols w:equalWidth="0" w:num="1">
        <w:col w:w="11240"/>
      </w:cols>
      <w:pgMar w:left="320" w:top="9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2026-06-15T07:44:08Z</dcterms:created>
  <dcterms:modified xsi:type="dcterms:W3CDTF">2026-06-15T07:44:08Z</dcterms:modified>
</cp:coreProperties>
</file>